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简体" w:hAnsi="仿宋" w:eastAsia="方正小标宋简体" w:cs="仿宋"/>
          <w:sz w:val="44"/>
          <w:szCs w:val="44"/>
          <w:lang w:eastAsia="zh-CN"/>
        </w:rPr>
      </w:pPr>
      <w:r>
        <w:rPr>
          <w:rFonts w:hint="eastAsia" w:ascii="方正小标宋简体" w:hAnsi="仿宋" w:eastAsia="方正小标宋简体" w:cs="仿宋"/>
          <w:sz w:val="44"/>
          <w:szCs w:val="44"/>
          <w:lang w:eastAsia="zh-CN"/>
        </w:rPr>
        <w:t>北京市公共交通高级技工学校</w:t>
      </w:r>
    </w:p>
    <w:p>
      <w:pPr>
        <w:spacing w:line="360" w:lineRule="auto"/>
        <w:jc w:val="center"/>
        <w:rPr>
          <w:rFonts w:ascii="仿宋" w:hAnsi="仿宋" w:eastAsia="仿宋" w:cs="仿宋"/>
          <w:sz w:val="44"/>
          <w:szCs w:val="44"/>
        </w:rPr>
      </w:pPr>
      <w:r>
        <w:rPr>
          <w:rFonts w:hint="eastAsia" w:ascii="方正小标宋简体" w:hAnsi="仿宋" w:eastAsia="方正小标宋简体" w:cs="仿宋"/>
          <w:sz w:val="44"/>
          <w:szCs w:val="44"/>
        </w:rPr>
        <w:t>整体绩效评价报告</w:t>
      </w:r>
    </w:p>
    <w:p>
      <w:pPr>
        <w:spacing w:line="360" w:lineRule="auto"/>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360" w:lineRule="auto"/>
        <w:ind w:firstLine="640" w:firstLineChars="200"/>
        <w:rPr>
          <w:rFonts w:ascii="楷体_GB2312" w:eastAsia="楷体_GB2312"/>
          <w:sz w:val="32"/>
          <w:szCs w:val="32"/>
        </w:rPr>
      </w:pPr>
      <w:r>
        <w:rPr>
          <w:rFonts w:hint="eastAsia" w:ascii="楷体_GB2312" w:eastAsia="楷体_GB2312"/>
          <w:sz w:val="32"/>
          <w:szCs w:val="32"/>
        </w:rPr>
        <w:t>（一）机构设置及职责工作任务情况</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1.主要职能</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北京市公共交通高级技工学校</w:t>
      </w:r>
      <w:r>
        <w:rPr>
          <w:rFonts w:hint="eastAsia" w:ascii="仿宋_GB2312" w:hAnsi="仿宋_GB2312" w:eastAsia="仿宋_GB2312" w:cs="仿宋_GB2312"/>
          <w:sz w:val="32"/>
          <w:szCs w:val="32"/>
        </w:rPr>
        <w:t>成立于1979年，隶属于北京公共交通控股（集团）有限公司，由北京市人力资源和社会保障局主管、北京市财政</w:t>
      </w:r>
      <w:r>
        <w:rPr>
          <w:rFonts w:hint="eastAsia" w:ascii="仿宋_GB2312" w:hAnsi="仿宋_GB2312" w:eastAsia="仿宋_GB2312" w:cs="仿宋_GB2312"/>
          <w:sz w:val="32"/>
          <w:szCs w:val="32"/>
          <w:lang w:val="en-US" w:eastAsia="zh-CN"/>
        </w:rPr>
        <w:t>补助</w:t>
      </w:r>
      <w:r>
        <w:rPr>
          <w:rFonts w:hint="eastAsia" w:ascii="仿宋_GB2312" w:hAnsi="仿宋_GB2312" w:eastAsia="仿宋_GB2312" w:cs="仿宋_GB2312"/>
          <w:sz w:val="32"/>
          <w:szCs w:val="32"/>
        </w:rPr>
        <w:t>事业单位，独立法人。</w:t>
      </w:r>
      <w:r>
        <w:rPr>
          <w:rFonts w:hint="eastAsia" w:ascii="仿宋_GB2312" w:hAnsi="仿宋_GB2312" w:eastAsia="仿宋_GB2312" w:cs="仿宋_GB2312"/>
          <w:sz w:val="32"/>
          <w:szCs w:val="32"/>
          <w:lang w:eastAsia="zh-CN"/>
        </w:rPr>
        <w:t>北京市公共交通高级技工学校</w:t>
      </w:r>
      <w:bookmarkStart w:id="2" w:name="_GoBack"/>
      <w:bookmarkEnd w:id="2"/>
      <w:r>
        <w:rPr>
          <w:rFonts w:hint="eastAsia" w:ascii="仿宋_GB2312" w:hAnsi="仿宋_GB2312" w:eastAsia="仿宋_GB2312" w:cs="仿宋_GB2312"/>
          <w:sz w:val="32"/>
          <w:szCs w:val="32"/>
        </w:rPr>
        <w:t xml:space="preserve">是集学历教育、职业培训、技能认定（鉴定）为一体的国家重点技工学院。 </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其主要职责包括：培养中级技术人才，提高社会职业素质。公交初、中、高级技术培训，相关技能培训。</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2.机构情况</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学</w:t>
      </w:r>
      <w:r>
        <w:rPr>
          <w:rFonts w:hint="eastAsia" w:ascii="仿宋_GB2312" w:hAnsi="仿宋_GB2312" w:eastAsia="仿宋_GB2312" w:cs="仿宋_GB2312"/>
          <w:sz w:val="32"/>
          <w:szCs w:val="32"/>
          <w:lang w:val="en-US" w:eastAsia="zh-CN"/>
        </w:rPr>
        <w:t>校</w:t>
      </w:r>
      <w:r>
        <w:rPr>
          <w:rFonts w:hint="eastAsia" w:ascii="仿宋_GB2312" w:hAnsi="仿宋_GB2312" w:eastAsia="仿宋_GB2312" w:cs="仿宋_GB2312"/>
          <w:sz w:val="32"/>
          <w:szCs w:val="32"/>
        </w:rPr>
        <w:t>设有党群工作部（工会）、办公室、财务处、办公室、教务处、职教研究所、学生处（团委）、招生就业办公室、培训处、信息中心、行政保卫处10个职能部室与汽车技术系、公共交通运输系2个专业系。</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3.人员构成情况</w:t>
      </w:r>
    </w:p>
    <w:p>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2023年度</w:t>
      </w:r>
      <w:r>
        <w:rPr>
          <w:rFonts w:hint="eastAsia" w:ascii="仿宋_GB2312" w:hAnsi="仿宋_GB2312" w:eastAsia="仿宋_GB2312" w:cs="仿宋_GB2312"/>
          <w:sz w:val="32"/>
          <w:szCs w:val="32"/>
          <w:lang w:eastAsia="zh-CN"/>
        </w:rPr>
        <w:t>北京市公共交通高级技工学校</w:t>
      </w:r>
      <w:r>
        <w:rPr>
          <w:rFonts w:hint="eastAsia" w:ascii="仿宋_GB2312" w:hAnsi="仿宋_GB2312" w:eastAsia="仿宋_GB2312" w:cs="仿宋_GB2312"/>
          <w:sz w:val="32"/>
          <w:szCs w:val="32"/>
        </w:rPr>
        <w:t>事业编制188人，实际160人，比上年增加6人。学生人数1400人，比上年增加130人。</w:t>
      </w:r>
    </w:p>
    <w:p>
      <w:pPr>
        <w:numPr>
          <w:ilvl w:val="0"/>
          <w:numId w:val="1"/>
        </w:numPr>
        <w:spacing w:line="360" w:lineRule="auto"/>
        <w:ind w:firstLine="640" w:firstLineChars="200"/>
        <w:rPr>
          <w:rFonts w:ascii="楷体_GB2312" w:eastAsia="楷体_GB2312"/>
          <w:sz w:val="32"/>
          <w:szCs w:val="32"/>
        </w:rPr>
      </w:pPr>
      <w:r>
        <w:rPr>
          <w:rFonts w:hint="eastAsia" w:ascii="楷体_GB2312" w:eastAsia="楷体_GB2312"/>
          <w:sz w:val="32"/>
          <w:szCs w:val="32"/>
        </w:rPr>
        <w:t>部门整体绩效目标设立情况</w:t>
      </w:r>
    </w:p>
    <w:p>
      <w:pPr>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目标一：完成全日制在校学生的教育教学及管理任务，达到学生培养目标。组织完成教育教学的正常运行管理，完成教研教改工作，开展专业建设和改革，强化教材建设、突出课程建设，落实完成学生实习实训教学的组织与管理。</w:t>
      </w:r>
    </w:p>
    <w:p>
      <w:pPr>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目标二：完成年度招生计划。</w:t>
      </w:r>
    </w:p>
    <w:p>
      <w:pPr>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目标三：完成学生德育教育工作计划。</w:t>
      </w:r>
    </w:p>
    <w:p>
      <w:pPr>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目标四：完成师资队伍建设和人才培养目标。</w:t>
      </w:r>
    </w:p>
    <w:p>
      <w:pPr>
        <w:spacing w:line="360" w:lineRule="auto"/>
        <w:ind w:firstLine="640" w:firstLineChars="200"/>
        <w:rPr>
          <w:rFonts w:ascii="仿宋_GB2312" w:hAnsi="仿宋_GB2312" w:eastAsia="仿宋_GB2312" w:cs="仿宋_GB2312"/>
          <w:sz w:val="32"/>
          <w:szCs w:val="32"/>
        </w:rPr>
      </w:pPr>
      <w:r>
        <w:rPr>
          <w:rFonts w:hint="eastAsia" w:ascii="仿宋_GB2312" w:hAnsi="宋体" w:eastAsia="仿宋_GB2312" w:cs="宋体"/>
          <w:kern w:val="0"/>
          <w:sz w:val="32"/>
          <w:szCs w:val="32"/>
        </w:rPr>
        <w:t>目标五：不断改善办学条件，完成后勤服务管理，为学生提供良好的学习生活环境。</w:t>
      </w:r>
    </w:p>
    <w:p>
      <w:pPr>
        <w:spacing w:line="600" w:lineRule="exact"/>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360" w:lineRule="auto"/>
        <w:ind w:firstLine="640" w:firstLineChars="200"/>
        <w:rPr>
          <w:rFonts w:ascii="黑体" w:hAnsi="黑体" w:eastAsia="黑体" w:cs="宋体"/>
          <w:color w:val="000000"/>
          <w:kern w:val="0"/>
          <w:sz w:val="32"/>
          <w:szCs w:val="32"/>
        </w:rPr>
      </w:pPr>
      <w:bookmarkStart w:id="0" w:name="_Hlk167822881"/>
      <w:r>
        <w:rPr>
          <w:rFonts w:hint="eastAsia" w:ascii="仿宋_GB2312" w:hAnsi="宋体" w:eastAsia="仿宋_GB2312" w:cs="宋体"/>
          <w:kern w:val="0"/>
          <w:sz w:val="32"/>
          <w:szCs w:val="32"/>
        </w:rPr>
        <w:t>2023年</w:t>
      </w:r>
      <w:r>
        <w:rPr>
          <w:rFonts w:ascii="仿宋_GB2312" w:hAnsi="宋体" w:eastAsia="仿宋_GB2312" w:cs="宋体"/>
          <w:kern w:val="0"/>
          <w:sz w:val="32"/>
          <w:szCs w:val="32"/>
        </w:rPr>
        <w:t>全年</w:t>
      </w:r>
      <w:r>
        <w:rPr>
          <w:rFonts w:hint="eastAsia" w:ascii="仿宋_GB2312" w:hAnsi="宋体" w:eastAsia="仿宋_GB2312" w:cs="宋体"/>
          <w:kern w:val="0"/>
          <w:sz w:val="32"/>
          <w:szCs w:val="32"/>
        </w:rPr>
        <w:t>预算数10272.58万元</w:t>
      </w:r>
      <w:r>
        <w:rPr>
          <w:rFonts w:ascii="仿宋_GB2312" w:hAnsi="宋体" w:eastAsia="仿宋_GB2312" w:cs="宋体"/>
          <w:kern w:val="0"/>
          <w:sz w:val="32"/>
          <w:szCs w:val="32"/>
        </w:rPr>
        <w:t>，</w:t>
      </w:r>
      <w:r>
        <w:rPr>
          <w:rFonts w:hint="eastAsia" w:ascii="仿宋_GB2312" w:hAnsi="宋体" w:eastAsia="仿宋_GB2312" w:cs="宋体"/>
          <w:kern w:val="0"/>
          <w:sz w:val="32"/>
          <w:szCs w:val="32"/>
        </w:rPr>
        <w:t>其中</w:t>
      </w:r>
      <w:r>
        <w:rPr>
          <w:rFonts w:ascii="仿宋_GB2312" w:hAnsi="宋体" w:eastAsia="仿宋_GB2312" w:cs="宋体"/>
          <w:kern w:val="0"/>
          <w:sz w:val="32"/>
          <w:szCs w:val="32"/>
        </w:rPr>
        <w:t>，基本</w:t>
      </w:r>
      <w:r>
        <w:rPr>
          <w:rFonts w:hint="eastAsia" w:ascii="仿宋_GB2312" w:hAnsi="宋体" w:eastAsia="仿宋_GB2312" w:cs="宋体"/>
          <w:kern w:val="0"/>
          <w:sz w:val="32"/>
          <w:szCs w:val="32"/>
        </w:rPr>
        <w:t>支出</w:t>
      </w:r>
      <w:r>
        <w:rPr>
          <w:rFonts w:ascii="仿宋_GB2312" w:hAnsi="宋体" w:eastAsia="仿宋_GB2312" w:cs="宋体"/>
          <w:kern w:val="0"/>
          <w:sz w:val="32"/>
          <w:szCs w:val="32"/>
        </w:rPr>
        <w:t>预算数</w:t>
      </w:r>
      <w:r>
        <w:rPr>
          <w:rFonts w:hint="eastAsia" w:ascii="仿宋_GB2312" w:hAnsi="宋体" w:eastAsia="仿宋_GB2312" w:cs="宋体"/>
          <w:kern w:val="0"/>
          <w:sz w:val="32"/>
          <w:szCs w:val="32"/>
        </w:rPr>
        <w:t>5865.14</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项目支出预算数1779.72</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，经营支出预算数2627.72万元。全年支出10063.21</w:t>
      </w:r>
      <w:r>
        <w:rPr>
          <w:rFonts w:ascii="仿宋_GB2312" w:hAnsi="宋体" w:eastAsia="仿宋_GB2312" w:cs="宋体"/>
          <w:kern w:val="0"/>
          <w:sz w:val="32"/>
          <w:szCs w:val="32"/>
        </w:rPr>
        <w:t>万元，其中，基本支出</w:t>
      </w:r>
      <w:r>
        <w:rPr>
          <w:rFonts w:hint="eastAsia" w:ascii="仿宋_GB2312" w:hAnsi="宋体" w:eastAsia="仿宋_GB2312" w:cs="宋体"/>
          <w:kern w:val="0"/>
          <w:sz w:val="32"/>
          <w:szCs w:val="32"/>
        </w:rPr>
        <w:t>5753.07</w:t>
      </w:r>
      <w:r>
        <w:rPr>
          <w:rFonts w:ascii="仿宋_GB2312" w:hAnsi="宋体" w:eastAsia="仿宋_GB2312" w:cs="宋体"/>
          <w:kern w:val="0"/>
          <w:sz w:val="32"/>
          <w:szCs w:val="32"/>
        </w:rPr>
        <w:t>万元，项目</w:t>
      </w:r>
      <w:r>
        <w:rPr>
          <w:rFonts w:hint="eastAsia" w:ascii="仿宋_GB2312" w:hAnsi="宋体" w:eastAsia="仿宋_GB2312" w:cs="宋体"/>
          <w:kern w:val="0"/>
          <w:sz w:val="32"/>
          <w:szCs w:val="32"/>
        </w:rPr>
        <w:t>支出1752.92</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经营支出2557.22万元，预算</w:t>
      </w:r>
      <w:r>
        <w:rPr>
          <w:rFonts w:ascii="仿宋_GB2312" w:hAnsi="宋体" w:eastAsia="仿宋_GB2312" w:cs="宋体"/>
          <w:kern w:val="0"/>
          <w:sz w:val="32"/>
          <w:szCs w:val="32"/>
        </w:rPr>
        <w:t>执行率</w:t>
      </w:r>
      <w:r>
        <w:rPr>
          <w:rFonts w:hint="eastAsia" w:ascii="仿宋_GB2312" w:hAnsi="宋体" w:eastAsia="仿宋_GB2312" w:cs="宋体"/>
          <w:kern w:val="0"/>
          <w:sz w:val="32"/>
          <w:szCs w:val="32"/>
        </w:rPr>
        <w:t>97.96%。</w:t>
      </w:r>
      <w:bookmarkEnd w:id="0"/>
    </w:p>
    <w:p>
      <w:pPr>
        <w:spacing w:line="360" w:lineRule="auto"/>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spacing w:line="360" w:lineRule="auto"/>
        <w:ind w:firstLine="640" w:firstLineChars="200"/>
        <w:rPr>
          <w:rFonts w:ascii="黑体" w:hAnsi="黑体" w:eastAsia="黑体" w:cs="宋体"/>
          <w:color w:val="000000"/>
          <w:kern w:val="0"/>
          <w:sz w:val="32"/>
          <w:szCs w:val="32"/>
        </w:rPr>
      </w:pPr>
      <w:r>
        <w:rPr>
          <w:rFonts w:hint="eastAsia" w:ascii="仿宋_GB2312" w:hAnsi="宋体" w:eastAsia="仿宋_GB2312" w:cs="宋体"/>
          <w:kern w:val="0"/>
          <w:sz w:val="32"/>
          <w:szCs w:val="32"/>
        </w:rPr>
        <w:t>2023年是全面贯彻落实党的二十大精神的开局之年,是实施“十四五”规划承上启下的关键之年。</w:t>
      </w:r>
      <w:r>
        <w:rPr>
          <w:rFonts w:hint="eastAsia" w:ascii="仿宋_GB2312" w:hAnsi="宋体" w:eastAsia="仿宋_GB2312" w:cs="宋体"/>
          <w:kern w:val="0"/>
          <w:sz w:val="32"/>
          <w:szCs w:val="32"/>
          <w:lang w:eastAsia="zh-CN"/>
        </w:rPr>
        <w:t>北京市公共交通高级技工学校</w:t>
      </w:r>
      <w:r>
        <w:rPr>
          <w:rFonts w:hint="eastAsia" w:ascii="仿宋_GB2312" w:hAnsi="宋体" w:eastAsia="仿宋_GB2312" w:cs="宋体"/>
          <w:kern w:val="0"/>
          <w:sz w:val="32"/>
          <w:szCs w:val="32"/>
        </w:rPr>
        <w:t>在集团公司党政的坚强领导和大力支持下笃定前行，全面提升政治站位，紧扣重点工作和关键环节，以服务集团公司改革发展为导向，以体制机制创新为着力点，以质量管理体系运行为契机，深入开展规范管理，狠抓教育教学质量提升，有效保证学院各项质量工作的落实，提升学院教育教学管理水平。</w:t>
      </w:r>
    </w:p>
    <w:p>
      <w:pPr>
        <w:spacing w:line="360" w:lineRule="auto"/>
        <w:ind w:firstLine="640" w:firstLineChars="200"/>
        <w:rPr>
          <w:rFonts w:ascii="楷体_GB2312" w:hAnsi="宋体" w:eastAsia="楷体_GB2312" w:cs="宋体"/>
          <w:kern w:val="0"/>
          <w:sz w:val="32"/>
          <w:szCs w:val="32"/>
        </w:rPr>
      </w:pPr>
      <w:r>
        <w:rPr>
          <w:rFonts w:hint="eastAsia" w:ascii="楷体_GB2312" w:hAnsi="宋体" w:eastAsia="楷体_GB2312" w:cs="宋体"/>
          <w:kern w:val="0"/>
          <w:sz w:val="32"/>
          <w:szCs w:val="32"/>
        </w:rPr>
        <w:t>（一）全日制在校学生的教育教学及管理任务、学生培养目标、教育教学的正常运行管理、教研教改工作、专业建设和改革、教材建设、课程建设、学生实习实训教学的组织与管理完成情况</w:t>
      </w:r>
    </w:p>
    <w:p>
      <w:pPr>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教育教学质量不断提升。一是推进课程体系改革，全面加强实习实训实践环节教学，已将新购置实习实训设备全部投入学生一体化课程的使用。二是从教学的各个环节（备、批、讲、辅）入手，有效加强教学的监控和管理，加强教学巡视巡查工作，利用信息化手段，全程监控教学秩序，通过巡课、组织召开教学工作例会等形式有效改善了学生难管理、教学秩序乱等问题。三是召开教材选用评审会3次，评审教材160余种。选派3名教师参加统编三科线下集中培训，11名教师参加线上及线下统编三科培训。四是组织开展公开课、示范课12次，校领导、中层管理人员、教学管理人员和教师共计约220人次参加听评课，有效加强了教师间教学经验交流，取长补短，对提高教育教学质量、探索工学一体化教学改革起到很好促进作用。为进一步提升教师教学能力，加强校际间沟通交流，组织14名担任公共基础课及统编三科的教师参加北京市技工院校思想政治、语文、历史三科公开课活动，教师通过学习培训，增长见识、拓宽视野。五是组织</w:t>
      </w:r>
      <w:r>
        <w:rPr>
          <w:rFonts w:hint="eastAsia" w:ascii="仿宋_GB2312" w:hAnsi="宋体" w:eastAsia="仿宋_GB2312" w:cs="宋体"/>
          <w:kern w:val="0"/>
          <w:sz w:val="32"/>
          <w:szCs w:val="32"/>
          <w:lang w:val="en-US" w:eastAsia="zh-CN"/>
        </w:rPr>
        <w:t>教师</w:t>
      </w:r>
      <w:r>
        <w:rPr>
          <w:rFonts w:hint="eastAsia" w:ascii="仿宋_GB2312" w:hAnsi="宋体" w:eastAsia="仿宋_GB2312" w:cs="宋体"/>
          <w:kern w:val="0"/>
          <w:sz w:val="32"/>
          <w:szCs w:val="32"/>
        </w:rPr>
        <w:t>参加北京市技工院校教师学生心理健康教育能力提升培训活动，提升心理教学水平。六是全年共组织师生参加3类别10余次大大小小的技能比赛，其中包含校级、市级、技工院校级技能类竞赛活动。师生参加比赛获二等奖、三等奖若干，以赛促学，以赛增技、以赛促教，展现了学院师生良好的精神风貌。七是孕育课程思政元素，打造了一支积极向上、充满干劲的思政教研团队，思政教研室工作稳步开展，精品思政案例成果突出。</w:t>
      </w:r>
    </w:p>
    <w:p>
      <w:pPr>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教科研水平稳步提升。一是搭建教师职业能力大赛、教科研成果比赛两个教师成长成才平台，组织开展教师教科研成果比赛和教师职业能力大赛校内选拔赛，选派6名教师参加了北京市技工教育和职业培训教科研成果评选活动、组织6名教师参加了交通类专业课教学方案设计比赛、组织4名教师参加北京市教师职业能力大赛选拔赛，3名教师获得就促中心的教案和论文三等奖、1名教师获得教学方案设计比赛二等奖。二是成功举办了全国公交职业教育高峰论坛。全国公交行业20余家职业教育学院共69人参加，共商交通行业职业教育的发展，为提高学院在公共交通行业发展的影响力，发挥品牌效应，依托中国道路运输协会城市客运分会平台助力学院办学影响力再上新高度。</w:t>
      </w:r>
    </w:p>
    <w:p>
      <w:pPr>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专业建设初见成效。一是根据集团公司用人需求和人社部印发的国家工学一体化技能人才培养课程标准和课程设置方案，组建专业人才培养方案和课程标准开发团队，邀请企业专家、职教专家对人才培养方案和课程标准进行指导和评审，修订完善汽车驾驶、新能源汽车检测与维修等6个专业人才培养方案和课程标准。二是推进工学一体化技能人才培养模式改革，组织完成汽车驾驶专业工学一体化建设专业申报，获批人社部第二批工学一体化技能人才培养模式建设专业。</w:t>
      </w:r>
    </w:p>
    <w:p>
      <w:pPr>
        <w:pStyle w:val="2"/>
        <w:spacing w:line="360" w:lineRule="auto"/>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4.社会培训工作按部就班。一是职业能力提升工程方面。截止11月30日完成2023年职业化能力提升培训71期,共5554人。二是专业技术提升工程方面。</w:t>
      </w:r>
      <w:r>
        <w:rPr>
          <w:rFonts w:hint="eastAsia" w:ascii="仿宋_GB2312" w:hAnsi="宋体" w:eastAsia="仿宋_GB2312" w:cs="宋体"/>
          <w:kern w:val="0"/>
          <w:sz w:val="32"/>
          <w:szCs w:val="32"/>
          <w:lang w:val="en-US" w:eastAsia="zh-CN"/>
        </w:rPr>
        <w:t>圆满</w:t>
      </w:r>
      <w:r>
        <w:rPr>
          <w:rFonts w:hint="eastAsia" w:ascii="仿宋_GB2312" w:hAnsi="宋体" w:eastAsia="仿宋_GB2312" w:cs="宋体"/>
          <w:kern w:val="0"/>
          <w:sz w:val="32"/>
          <w:szCs w:val="32"/>
        </w:rPr>
        <w:t>完成</w:t>
      </w:r>
      <w:r>
        <w:rPr>
          <w:rFonts w:hint="eastAsia" w:ascii="仿宋_GB2312" w:hAnsi="宋体" w:eastAsia="仿宋_GB2312" w:cs="宋体"/>
          <w:kern w:val="0"/>
          <w:sz w:val="32"/>
          <w:szCs w:val="32"/>
          <w:lang w:val="en-US" w:eastAsia="zh-CN"/>
        </w:rPr>
        <w:t>了</w:t>
      </w:r>
      <w:r>
        <w:rPr>
          <w:rFonts w:hint="eastAsia" w:ascii="仿宋_GB2312" w:hAnsi="宋体" w:eastAsia="仿宋_GB2312" w:cs="宋体"/>
          <w:kern w:val="0"/>
          <w:sz w:val="32"/>
          <w:szCs w:val="32"/>
        </w:rPr>
        <w:t>稽查员、接线员、行管员、车队安全员、安保专业等培训任务。三是技能等级认定培训方面。完成折子任务中驾驶员、调度员、乘务员、维修工各等级培训任务</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四是基础素质提升工程方面。开展新招员工岗前培训和新招岗位适应性培训</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完成2023年驾驶员、维修工、调度员技师研修培训</w:t>
      </w:r>
      <w:r>
        <w:rPr>
          <w:rFonts w:hint="eastAsia" w:ascii="仿宋_GB2312" w:hAnsi="宋体" w:eastAsia="仿宋_GB2312" w:cs="宋体"/>
          <w:kern w:val="0"/>
          <w:sz w:val="32"/>
          <w:szCs w:val="32"/>
          <w:lang w:val="en-US" w:eastAsia="zh-CN"/>
        </w:rPr>
        <w:t>任务。</w:t>
      </w:r>
      <w:r>
        <w:rPr>
          <w:rFonts w:hint="eastAsia" w:ascii="仿宋_GB2312" w:hAnsi="宋体" w:eastAsia="仿宋_GB2312" w:cs="宋体"/>
          <w:kern w:val="0"/>
          <w:sz w:val="32"/>
          <w:szCs w:val="32"/>
        </w:rPr>
        <w:t>五是折子外培训方面。积极开拓折子外培训项目，与保修分公司开展校企合作，签订校企合作高技能人才培训协议，开展并完成维修工高技能人才培训。</w:t>
      </w:r>
    </w:p>
    <w:p>
      <w:pPr>
        <w:pStyle w:val="2"/>
        <w:spacing w:line="360" w:lineRule="auto"/>
        <w:ind w:firstLine="640"/>
      </w:pPr>
      <w:r>
        <w:rPr>
          <w:rFonts w:hint="eastAsia" w:ascii="仿宋_GB2312" w:hAnsi="宋体" w:eastAsia="仿宋_GB2312" w:cs="宋体"/>
          <w:kern w:val="0"/>
          <w:sz w:val="32"/>
          <w:szCs w:val="32"/>
        </w:rPr>
        <w:t>5.校企合作互利共赢。一是为学生实习就业开拓合作市场，通过多方交流考察，深入企业勘察调研，最终经过研判审核，共与7家单位签订了校企合作协议，实现了共享校外实习实训基地，共享师资队伍，共享实习实训设备，为学院今后的发展以及社会影响力打下了良好的基础。二是组织学生走进企业，加深学生对企业岗位的认识。全年共组织了41天1290人次的学生企业认识实习。加强与大师工作室联系，聘请企业大师工作室、创新工作室领办人、技术骨干等担任企业授课教师。三是积极推动大师工作室项目管理。以大师工作室建设为抓手，围绕技能研发、师带徒、课题研发等方面开展，推动大师工作室“项目管理”，积极与企业对接，开展项目研究，完成了《智慧公交人才供需画像与培养研究》教科研课题研究，在学生中组织举办</w:t>
      </w:r>
      <w:r>
        <w:rPr>
          <w:rFonts w:hint="eastAsia" w:ascii="仿宋_GB2312" w:hAnsi="宋体" w:eastAsia="仿宋_GB2312" w:cs="宋体"/>
          <w:kern w:val="0"/>
          <w:sz w:val="32"/>
          <w:szCs w:val="32"/>
          <w:lang w:val="en-US" w:eastAsia="zh-CN"/>
        </w:rPr>
        <w:t>了</w:t>
      </w:r>
      <w:r>
        <w:rPr>
          <w:rFonts w:hint="eastAsia" w:ascii="仿宋_GB2312" w:hAnsi="宋体" w:eastAsia="仿宋_GB2312" w:cs="宋体"/>
          <w:kern w:val="0"/>
          <w:sz w:val="32"/>
          <w:szCs w:val="32"/>
        </w:rPr>
        <w:t>驾驶-调度专业联动技能比赛。</w:t>
      </w:r>
    </w:p>
    <w:p>
      <w:pPr>
        <w:pStyle w:val="2"/>
        <w:spacing w:line="360" w:lineRule="auto"/>
        <w:ind w:firstLine="640"/>
        <w:rPr>
          <w:rFonts w:ascii="楷体_GB2312" w:hAnsi="宋体" w:eastAsia="楷体_GB2312" w:cs="宋体"/>
          <w:kern w:val="0"/>
          <w:sz w:val="32"/>
          <w:szCs w:val="32"/>
        </w:rPr>
      </w:pPr>
      <w:r>
        <w:rPr>
          <w:rFonts w:hint="eastAsia" w:ascii="楷体_GB2312" w:hAnsi="宋体" w:eastAsia="楷体_GB2312" w:cs="宋体"/>
          <w:kern w:val="0"/>
          <w:sz w:val="32"/>
          <w:szCs w:val="32"/>
        </w:rPr>
        <w:t>（二）年度招生计划完成情况</w:t>
      </w:r>
    </w:p>
    <w:p>
      <w:pPr>
        <w:pStyle w:val="2"/>
        <w:spacing w:line="360" w:lineRule="auto"/>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2023年，</w:t>
      </w:r>
      <w:r>
        <w:rPr>
          <w:rFonts w:hint="eastAsia" w:ascii="仿宋_GB2312" w:hAnsi="宋体" w:eastAsia="仿宋_GB2312" w:cs="宋体"/>
          <w:kern w:val="0"/>
          <w:sz w:val="32"/>
          <w:szCs w:val="32"/>
          <w:lang w:eastAsia="zh-CN"/>
        </w:rPr>
        <w:t>北京市公共交通高级技工学校</w:t>
      </w:r>
      <w:r>
        <w:rPr>
          <w:rFonts w:hint="eastAsia" w:ascii="仿宋_GB2312" w:hAnsi="宋体" w:eastAsia="仿宋_GB2312" w:cs="宋体"/>
          <w:kern w:val="0"/>
          <w:sz w:val="32"/>
          <w:szCs w:val="32"/>
        </w:rPr>
        <w:t>合理制定学院2023年的招生工作方案，明确招生工作进度和目标，指导全年招生工作有序开展，招生规模不断扩大。近几年在校生规模保持稳步递增，截止目前保证了在校生规模突破1400人。</w:t>
      </w:r>
    </w:p>
    <w:p>
      <w:pPr>
        <w:pStyle w:val="2"/>
        <w:spacing w:line="360" w:lineRule="auto"/>
        <w:ind w:firstLine="640"/>
        <w:rPr>
          <w:rFonts w:ascii="楷体_GB2312" w:hAnsi="宋体" w:eastAsia="楷体_GB2312" w:cs="宋体"/>
          <w:kern w:val="0"/>
          <w:sz w:val="32"/>
          <w:szCs w:val="32"/>
        </w:rPr>
      </w:pPr>
      <w:r>
        <w:rPr>
          <w:rFonts w:hint="eastAsia" w:ascii="楷体_GB2312" w:hAnsi="宋体" w:eastAsia="楷体_GB2312" w:cs="宋体"/>
          <w:kern w:val="0"/>
          <w:sz w:val="32"/>
          <w:szCs w:val="32"/>
        </w:rPr>
        <w:t>（三）学生德育教育工作计划完成情况</w:t>
      </w:r>
    </w:p>
    <w:p>
      <w:pPr>
        <w:pStyle w:val="2"/>
        <w:spacing w:line="360" w:lineRule="auto"/>
        <w:ind w:firstLine="640"/>
        <w:rPr>
          <w:rFonts w:ascii="仿宋_GB2312" w:eastAsia="仿宋_GB2312"/>
          <w:sz w:val="32"/>
          <w:szCs w:val="32"/>
        </w:rPr>
      </w:pPr>
      <w:r>
        <w:rPr>
          <w:rFonts w:hint="eastAsia" w:ascii="仿宋_GB2312" w:eastAsia="仿宋_GB2312"/>
          <w:sz w:val="32"/>
          <w:szCs w:val="32"/>
        </w:rPr>
        <w:t>2023年，</w:t>
      </w:r>
      <w:r>
        <w:rPr>
          <w:rFonts w:hint="eastAsia" w:ascii="仿宋_GB2312" w:eastAsia="仿宋_GB2312"/>
          <w:sz w:val="32"/>
          <w:szCs w:val="32"/>
          <w:lang w:eastAsia="zh-CN"/>
        </w:rPr>
        <w:t>北京市公共交通高级技工学校</w:t>
      </w:r>
      <w:r>
        <w:rPr>
          <w:rFonts w:hint="eastAsia" w:ascii="仿宋_GB2312" w:eastAsia="仿宋_GB2312"/>
          <w:sz w:val="32"/>
          <w:szCs w:val="32"/>
        </w:rPr>
        <w:t>学生德育工作有序开展。一是在心里健康团队的带领下，学生的心理健康教育活动取得了新的突破。2023年第一届“育人育心育未来数据心理强技能”心理教育主题活动成果观摩交流会在我校成功举办。二是激发学生积极参加体育锻炼的热情，提高参与体育活动的兴趣，举办“发展校园足球，成就中国梦想”主题足球赛活动，共开展比赛二十八场，三十个班级参加比赛。三是邀请全国劳动模范、全国优秀农民工、全国交通技术能手，北京首发公路养护工程有限公司养护事业部第八养护项目部班长吴喜军开展以“工匠精神”为主题的劳模进课堂讲座和交流活动。四是为能够让学生懂得珍惜亲情，健康快乐成长，营造健康向上的校园文化，增强同学们对学习的热爱、对美好生活的向往。组织在校生开展以“成长成才，同向同行”为主题的学生集体生日会活动。</w:t>
      </w:r>
    </w:p>
    <w:p>
      <w:pPr>
        <w:pStyle w:val="2"/>
        <w:spacing w:line="360" w:lineRule="auto"/>
        <w:ind w:firstLine="640"/>
        <w:rPr>
          <w:rFonts w:ascii="楷体_GB2312" w:hAnsi="宋体" w:eastAsia="楷体_GB2312" w:cs="宋体"/>
          <w:kern w:val="0"/>
          <w:sz w:val="32"/>
          <w:szCs w:val="32"/>
        </w:rPr>
      </w:pPr>
      <w:r>
        <w:rPr>
          <w:rFonts w:hint="eastAsia" w:ascii="楷体_GB2312" w:hAnsi="宋体" w:eastAsia="楷体_GB2312" w:cs="宋体"/>
          <w:kern w:val="0"/>
          <w:sz w:val="32"/>
          <w:szCs w:val="32"/>
        </w:rPr>
        <w:t>（四）师资队伍建设和人才培养目标完成情况</w:t>
      </w:r>
    </w:p>
    <w:p>
      <w:pPr>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规范选人用人。严格执行集团公司和学院相关管理人员选拔任用工作制度，结合实际，发现、培养、选拔优秀年轻管理人员，改善知识结构和年龄结构，同时为教师成长搭建平台，落实选人用人常态化、长效化机制，提升干部队伍整体能力。落实《</w:t>
      </w:r>
      <w:r>
        <w:rPr>
          <w:rFonts w:hint="eastAsia" w:ascii="仿宋_GB2312" w:hAnsi="宋体" w:eastAsia="仿宋_GB2312" w:cs="宋体"/>
          <w:kern w:val="0"/>
          <w:sz w:val="32"/>
          <w:szCs w:val="32"/>
          <w:lang w:eastAsia="zh-CN"/>
        </w:rPr>
        <w:t>北京市公共交通高级技工学校</w:t>
      </w:r>
      <w:r>
        <w:rPr>
          <w:rFonts w:hint="eastAsia" w:ascii="仿宋_GB2312" w:hAnsi="宋体" w:eastAsia="仿宋_GB2312" w:cs="宋体"/>
          <w:kern w:val="0"/>
          <w:sz w:val="32"/>
          <w:szCs w:val="32"/>
        </w:rPr>
        <w:t>教师借用管理办法（试行）》，初步建立了教管融通机制。注重在学院改革发展主战场、技师学院筹设攻坚中锻炼</w:t>
      </w:r>
      <w:r>
        <w:rPr>
          <w:rFonts w:hint="eastAsia" w:ascii="仿宋_GB2312" w:hAnsi="宋体" w:eastAsia="仿宋_GB2312" w:cs="宋体"/>
          <w:kern w:val="0"/>
          <w:sz w:val="32"/>
          <w:szCs w:val="32"/>
          <w:lang w:val="en-US" w:eastAsia="zh-CN"/>
        </w:rPr>
        <w:t>和</w:t>
      </w:r>
      <w:r>
        <w:rPr>
          <w:rFonts w:hint="eastAsia" w:ascii="仿宋_GB2312" w:hAnsi="宋体" w:eastAsia="仿宋_GB2312" w:cs="宋体"/>
          <w:kern w:val="0"/>
          <w:sz w:val="32"/>
          <w:szCs w:val="32"/>
        </w:rPr>
        <w:t>培养年轻干部，</w:t>
      </w:r>
      <w:r>
        <w:rPr>
          <w:rFonts w:hint="eastAsia" w:ascii="仿宋_GB2312" w:hAnsi="宋体" w:eastAsia="仿宋_GB2312" w:cs="宋体"/>
          <w:kern w:val="0"/>
          <w:sz w:val="32"/>
          <w:szCs w:val="32"/>
          <w:lang w:val="en-US" w:eastAsia="zh-CN"/>
        </w:rPr>
        <w:t>安排</w:t>
      </w:r>
      <w:r>
        <w:rPr>
          <w:rFonts w:hint="eastAsia" w:ascii="仿宋_GB2312" w:hAnsi="宋体" w:eastAsia="仿宋_GB2312" w:cs="宋体"/>
          <w:kern w:val="0"/>
          <w:sz w:val="32"/>
          <w:szCs w:val="32"/>
        </w:rPr>
        <w:t>年轻教师到技师学院筹设组锻炼，青年管理人员走上中层领导岗位，主持部门工作。落实</w:t>
      </w:r>
      <w:r>
        <w:rPr>
          <w:rFonts w:hint="eastAsia" w:ascii="仿宋_GB2312" w:hAnsi="宋体" w:eastAsia="仿宋_GB2312" w:cs="宋体"/>
          <w:kern w:val="0"/>
          <w:sz w:val="32"/>
          <w:szCs w:val="32"/>
          <w:lang w:val="en-US" w:eastAsia="zh-CN"/>
        </w:rPr>
        <w:t>了</w:t>
      </w:r>
      <w:r>
        <w:rPr>
          <w:rFonts w:hint="eastAsia" w:ascii="仿宋_GB2312" w:hAnsi="宋体" w:eastAsia="仿宋_GB2312" w:cs="宋体"/>
          <w:kern w:val="0"/>
          <w:sz w:val="32"/>
          <w:szCs w:val="32"/>
        </w:rPr>
        <w:t>2023年教师招聘计划，招聘8名大学生来校工作。</w:t>
      </w:r>
    </w:p>
    <w:p>
      <w:pPr>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优化教师结构。为补足教师需求缺口,优化教师结构和提升教育教学质量，根据教育部等四部门印发的《职业学院兼职教师管理办法》教师〔2023〕9号文件精神，特制定《学制教育外聘兼职教师管理办法》，扩大了兼职教师的招聘范围。</w:t>
      </w:r>
    </w:p>
    <w:p>
      <w:pPr>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以培赋能，助力发展。制定并落实2023年管理人员培训折子，提升管理人员和教师的能力和素质。制定学院教师专业技术职务评定实施细则（试行）和专业技术职务聘任管理办法，8名教师通过了技工院校教师系列助理讲师。</w:t>
      </w:r>
    </w:p>
    <w:p>
      <w:pPr>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4.结合学院战略目标，立足工作实际，根据指标库、《管理人员（教师）岗位绩效工资制实施细则》《工人岗位绩效工资制实施细则》《</w:t>
      </w:r>
      <w:r>
        <w:rPr>
          <w:rFonts w:hint="eastAsia" w:ascii="仿宋_GB2312" w:hAnsi="宋体" w:eastAsia="仿宋_GB2312" w:cs="宋体"/>
          <w:kern w:val="0"/>
          <w:sz w:val="32"/>
          <w:szCs w:val="32"/>
          <w:lang w:eastAsia="zh-CN"/>
        </w:rPr>
        <w:t>北京市公共交通高级技工学校</w:t>
      </w:r>
      <w:r>
        <w:rPr>
          <w:rFonts w:hint="eastAsia" w:ascii="仿宋_GB2312" w:hAnsi="宋体" w:eastAsia="仿宋_GB2312" w:cs="宋体"/>
          <w:kern w:val="0"/>
          <w:sz w:val="32"/>
          <w:szCs w:val="32"/>
        </w:rPr>
        <w:t>工人岗位规范考核实施细则》的要求，进一步发挥绩效考核激励制约机制，充分发挥各级各类人员的作用，确保学院各项工作高质量、高效率、高标准开展，促进员工与学院共同成长。</w:t>
      </w:r>
    </w:p>
    <w:p>
      <w:pPr>
        <w:pStyle w:val="2"/>
        <w:spacing w:line="360" w:lineRule="auto"/>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5.师资队伍建设成效显著。一是组织7名教师参加了集团公司第三届“好讲师”大赛暨第五届微课大赛，有4名教师进入集团公司20强，2名教师参加公交大学堂第二届“好讲师”全国决赛，并进入全国60强。通过参加比赛锻炼了教师队伍，提升了教师的教学能力，丰富了专业知识。二是围绕教师职业能力提升开展师资培训和教师企业实践。组织新入职教师与老教师结对子，开展新入职教师培训和拜师仪式，促进新教师教学能力提升。选派教师参加校内培训、就促中心培训以及外出培训，其中就促中心和外出培训共计48人次，主要包括课程思政与思政课程教学能力提升培训、技工院校一体化课程教学培训、职业学院师德师风建设与思政教育质量提升培训、高质量推进技工院校教研活动研修等，通过培训提升教师职业能力和教研能力。</w:t>
      </w:r>
    </w:p>
    <w:p>
      <w:pPr>
        <w:spacing w:line="360" w:lineRule="auto"/>
        <w:ind w:firstLine="640" w:firstLineChars="200"/>
        <w:rPr>
          <w:rFonts w:ascii="楷体_GB2312" w:hAnsi="宋体" w:eastAsia="楷体_GB2312" w:cs="宋体"/>
          <w:kern w:val="0"/>
          <w:sz w:val="32"/>
          <w:szCs w:val="32"/>
        </w:rPr>
      </w:pPr>
      <w:r>
        <w:rPr>
          <w:rFonts w:hint="eastAsia" w:ascii="楷体_GB2312" w:hAnsi="宋体" w:eastAsia="楷体_GB2312" w:cs="宋体"/>
          <w:kern w:val="0"/>
          <w:sz w:val="32"/>
          <w:szCs w:val="32"/>
        </w:rPr>
        <w:t>（五）改善办学条件，完善后勤服务管理，学生学习生活环境改善完成情况</w:t>
      </w:r>
    </w:p>
    <w:p>
      <w:pPr>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加强学院安全保卫，确保万无一失。一是结合重大政治活动、节假日期间的工作重点，落实时期性安防教育，以“严细实勤”的工作态度，积极主动的完成各项工作，确保学院安全稳定。二是开展好“安全生产月”和“119”消防宣传月系列活动，做学生及教职工安全宣传教育工作，按时开展应急演练，提高学生自我保护意识和自救能力。三是做好2024年防汛期间及冬防等特殊天气的应急保障工作，力争实现零差错。</w:t>
      </w:r>
    </w:p>
    <w:p>
      <w:pPr>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加强信息安全管理。一是完成了学院天擎终端安全管理系统的部署和应用，进一步保障了学院的网络安全。二是完成了智慧校园平台二级等保测评和校园门户网站二级等保复测工作。三是完成计算教室电脑和办公电脑内存升级工作，进一步提高了教学办公效率。2023年共计完成信息系统和信息设备设施技术支持、维修、会议保障及咨询共计960余次，保障了全校教职工教学管理和办公需求。</w:t>
      </w:r>
    </w:p>
    <w:p>
      <w:pPr>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3.加强学院督查督办。对学院党总支会和校长办公会议定事项执行落实情况开展</w:t>
      </w:r>
      <w:r>
        <w:rPr>
          <w:rFonts w:hint="eastAsia" w:ascii="仿宋_GB2312" w:hAnsi="宋体" w:eastAsia="仿宋_GB2312" w:cs="宋体"/>
          <w:kern w:val="0"/>
          <w:sz w:val="32"/>
          <w:szCs w:val="32"/>
          <w:lang w:val="en-US" w:eastAsia="zh-CN"/>
        </w:rPr>
        <w:t>了</w:t>
      </w:r>
      <w:r>
        <w:rPr>
          <w:rFonts w:hint="eastAsia" w:ascii="仿宋_GB2312" w:hAnsi="宋体" w:eastAsia="仿宋_GB2312" w:cs="宋体"/>
          <w:kern w:val="0"/>
          <w:sz w:val="32"/>
          <w:szCs w:val="32"/>
        </w:rPr>
        <w:t>督查督办；按时间节点对学院《年度党政工作折子工程》和技师学院6期工作任务完成情况开展督查督办。全年共有职工代表17组，34人次参与校园巡视，发现隐患或提出建议39项，对接专业部室完成整改。</w:t>
      </w:r>
    </w:p>
    <w:p>
      <w:pPr>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4.夯实质量体系管理基础。学</w:t>
      </w:r>
      <w:r>
        <w:rPr>
          <w:rFonts w:hint="eastAsia" w:ascii="仿宋_GB2312" w:hAnsi="宋体" w:eastAsia="仿宋_GB2312" w:cs="宋体"/>
          <w:kern w:val="0"/>
          <w:sz w:val="32"/>
          <w:szCs w:val="32"/>
          <w:lang w:val="en-US" w:eastAsia="zh-CN"/>
        </w:rPr>
        <w:t>校</w:t>
      </w:r>
      <w:r>
        <w:rPr>
          <w:rFonts w:hint="eastAsia" w:ascii="仿宋_GB2312" w:hAnsi="宋体" w:eastAsia="仿宋_GB2312" w:cs="宋体"/>
          <w:kern w:val="0"/>
          <w:sz w:val="32"/>
          <w:szCs w:val="32"/>
        </w:rPr>
        <w:t>在建立新版质量管理体系以来，严格按照已形成的质量管理体系文件，认真梳理各项流程后进一步强化各项工作落实，完成了质量体系文件修改的指导工作。2023年</w:t>
      </w:r>
      <w:r>
        <w:rPr>
          <w:rFonts w:hint="eastAsia" w:ascii="仿宋_GB2312" w:hAnsi="宋体" w:eastAsia="仿宋_GB2312" w:cs="宋体"/>
          <w:kern w:val="0"/>
          <w:sz w:val="32"/>
          <w:szCs w:val="32"/>
          <w:lang w:val="en-US" w:eastAsia="zh-CN"/>
        </w:rPr>
        <w:t>对</w:t>
      </w:r>
      <w:r>
        <w:rPr>
          <w:rFonts w:hint="eastAsia" w:ascii="仿宋_GB2312" w:hAnsi="宋体" w:eastAsia="仿宋_GB2312" w:cs="宋体"/>
          <w:kern w:val="0"/>
          <w:sz w:val="32"/>
          <w:szCs w:val="32"/>
        </w:rPr>
        <w:t>收到</w:t>
      </w:r>
      <w:r>
        <w:rPr>
          <w:rFonts w:hint="eastAsia" w:ascii="仿宋_GB2312" w:hAnsi="宋体" w:eastAsia="仿宋_GB2312" w:cs="宋体"/>
          <w:kern w:val="0"/>
          <w:sz w:val="32"/>
          <w:szCs w:val="32"/>
          <w:lang w:val="en-US" w:eastAsia="zh-CN"/>
        </w:rPr>
        <w:t>的</w:t>
      </w:r>
      <w:r>
        <w:rPr>
          <w:rFonts w:hint="eastAsia" w:ascii="仿宋_GB2312" w:hAnsi="宋体" w:eastAsia="仿宋_GB2312" w:cs="宋体"/>
          <w:kern w:val="0"/>
          <w:sz w:val="32"/>
          <w:szCs w:val="32"/>
        </w:rPr>
        <w:t>各部室质量体系文件修改意见并已完成修改。完成了质量体系的内审、外审及管理评审工作，并严格按照外审提出的意见建议进行整改并进行整改验证，同时对内审发现的不合格项和建议项加以整改，以确保质量管理体系的有效运行。</w:t>
      </w:r>
    </w:p>
    <w:p>
      <w:pPr>
        <w:spacing w:line="360" w:lineRule="auto"/>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5.内控管理建章立制。为了进一步加强制度建设，完善内部管理机制和运行机制，营造良好的内部控制环境，强化内部控制意识，促进各项工作的规范化、标准化，提高制度的科学性、可操作性,学院2023年完成规章制度清理阶段工作，后续将继续做好规章制度“废、改、立、留”统计工作，对执行的制度不断进行完善，持续做好内控管理工作。</w:t>
      </w:r>
    </w:p>
    <w:p>
      <w:pPr>
        <w:spacing w:line="360" w:lineRule="auto"/>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1.财务管理制度健全性</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在财务信息方面，</w:t>
      </w: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为加强财政财务管理工作，明确预算管理的权限，维护财经纪律，更好地服务保障教育教学管理工作，保证各项重点任务的顺利完成。根据《中华人民共和国会计法》《中华人民共和国预算法》及市财政的有关规定，结合</w:t>
      </w: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实际情况，制定了《</w:t>
      </w: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预决算管理办法》《</w:t>
      </w: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资金管理办法》《</w:t>
      </w: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项目支出预算管理办法》《</w:t>
      </w: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全面预算管理实施细则》《</w:t>
      </w: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政府采购财务管理制度》《</w:t>
      </w: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固定资产无形资产、存货财务管理制度》等，办法中对各会计机构人员以及会计核算、财务的预决算管理、收入支出管理、经费审批权限、票据管理、银行账户管理、政府采购管理、固定资产管理、债权债务管理、财务报告和财务分析、财务内控管理</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rPr>
        <w:t>对各项资金适用范围、资金管理归口部门、资金使用的审核批准、资金的报销、资金使用的监督检查等方面进行规范</w:t>
      </w:r>
      <w:r>
        <w:rPr>
          <w:rFonts w:hint="eastAsia" w:ascii="仿宋_GB2312" w:hAnsi="宋体" w:eastAsia="仿宋_GB2312" w:cs="宋体"/>
          <w:color w:val="000000"/>
          <w:kern w:val="0"/>
          <w:sz w:val="32"/>
          <w:szCs w:val="32"/>
          <w:lang w:val="en-US" w:eastAsia="zh-CN"/>
        </w:rPr>
        <w:t>管理</w:t>
      </w:r>
      <w:r>
        <w:rPr>
          <w:rFonts w:hint="eastAsia" w:ascii="仿宋_GB2312" w:hAnsi="宋体" w:eastAsia="仿宋_GB2312" w:cs="宋体"/>
          <w:color w:val="000000"/>
          <w:kern w:val="0"/>
          <w:sz w:val="32"/>
          <w:szCs w:val="32"/>
        </w:rPr>
        <w:t>。</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2.资金使用合规性和安全性</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合理设置了收支业务管理岗位并明确岗位职责；收费业务归口管理、统一核算；对各类票据、印章的保管、申领、启用、销毁等进行了有效控制，避免了收入、资金流失的风险；对支出事项严格审核和审批，确保支出范围和标准符合预算或相关法规的规定；同时对支出进行跟踪分析和绩效评价，以避免资金浪费、使用效率不高等风险。</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3.会计基础信息完善性</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为更好适应行政事业单位财务发展趋势，</w:t>
      </w: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注重会计核算责任落实，依法规范会计核算，提高会计核算人员自身专业理论知识和业务技术水平。结合党史学习教育，督促工作人员恪尽职守，规范会计核算业务行为，切实把会计核算工作做好。注重强化会计监督工作，注重使用内审、年度预算执行审计等外部监督手段，督促提高会计核算信息质量，确保会计工作严格在法律、法规、制度的范围内开展业务工作，保证会计基础信息的完整真实。</w:t>
      </w:r>
    </w:p>
    <w:p>
      <w:pPr>
        <w:spacing w:line="360" w:lineRule="auto"/>
        <w:ind w:firstLine="640" w:firstLineChars="200"/>
        <w:rPr>
          <w:rFonts w:ascii="楷体_GB2312" w:hAnsi="宋体" w:eastAsia="楷体_GB2312" w:cs="宋体"/>
          <w:color w:val="000000"/>
          <w:kern w:val="0"/>
          <w:sz w:val="32"/>
          <w:szCs w:val="32"/>
        </w:rPr>
      </w:pPr>
      <w:r>
        <w:rPr>
          <w:rFonts w:hint="eastAsia" w:ascii="楷体_GB2312" w:hAnsi="宋体" w:eastAsia="楷体_GB2312" w:cs="宋体"/>
          <w:color w:val="000000"/>
          <w:kern w:val="0"/>
          <w:sz w:val="32"/>
          <w:szCs w:val="32"/>
        </w:rPr>
        <w:t>（二）资产管理</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定期编制银行存款余额调节表。库存现金经盘点账账相符、账实相符。</w:t>
      </w: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对货币资金相关岗位进行了相互分离，对预留印鉴和银行账户进行严格的管理与监督；对固定资产、存货等实物资产实行归口管理，建立台账，加大日常保管力度并定期盘点，按规定程序处置资产；明确了资产归口管理部门、使用部门及其相关岗位的职责权限，细化了资产配置、验收、使用、管理、核算、盘点、处置、分析、监督和绩效评价等各个环节的工作流程、管理要求和责任追究机制等相关内容。</w:t>
      </w:r>
    </w:p>
    <w:p>
      <w:pPr>
        <w:spacing w:line="360" w:lineRule="auto"/>
        <w:ind w:firstLine="640" w:firstLineChars="200"/>
        <w:rPr>
          <w:rFonts w:ascii="楷体_GB2312" w:hAnsi="宋体" w:eastAsia="楷体_GB2312" w:cs="宋体"/>
          <w:color w:val="000000"/>
          <w:kern w:val="0"/>
          <w:sz w:val="32"/>
          <w:szCs w:val="32"/>
        </w:rPr>
      </w:pPr>
      <w:r>
        <w:rPr>
          <w:rFonts w:hint="eastAsia" w:ascii="楷体_GB2312" w:hAnsi="宋体" w:eastAsia="楷体_GB2312" w:cs="宋体"/>
          <w:color w:val="000000"/>
          <w:kern w:val="0"/>
          <w:sz w:val="32"/>
          <w:szCs w:val="32"/>
        </w:rPr>
        <w:t>（三）绩效管理</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积极开展各部门项目自评和部门整体绩效评价，注重优化预算绩效管理链条，实现绩效信息和预算数据互联互通。在绩效信息的收集方面，</w:t>
      </w: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制定了绩效评价的主要依据，包括：国家相关法律法规和规章制度；各级政府制定的国民经济与社会发展规划和方针政策；预算管理制度、专项资金及财务管理办法、财务会计资料；各级财政部门制定的专项资金绩效评价管理制度；学院职能职责、中长期发展规划及年度工作计划；相关行业政策、行业规划、行业标准及专业技术规范；申请预算时提出的绩效目标及其他相关材料，财政部门预算批复，财政部门年度预算执行情况，年度决算报告；人大审查结果报告、审计报告及决定、财政监督检查报告；其他相关资料等。</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通过制定绩效相关管理办法、制定绩效管理流程图等方式，加强了预算绩效管理，强化了支出责任和效率意识，加强了绩效评价结果的应用，将评价结果作为科学安排预算、年度考评和单位决策的重要依据；同时，</w:t>
      </w: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在预算绩效全过程管理方面，基本做到了预算编制有目标、预算执行有监控、执行结果有评价、评价结果有反馈、反馈结果有应用。</w:t>
      </w:r>
    </w:p>
    <w:p>
      <w:pPr>
        <w:spacing w:line="360" w:lineRule="auto"/>
        <w:ind w:firstLine="640" w:firstLineChars="200"/>
        <w:rPr>
          <w:rFonts w:ascii="楷体_GB2312" w:hAnsi="宋体" w:eastAsia="楷体_GB2312" w:cs="宋体"/>
          <w:color w:val="000000"/>
          <w:kern w:val="0"/>
          <w:sz w:val="32"/>
          <w:szCs w:val="32"/>
        </w:rPr>
      </w:pPr>
      <w:r>
        <w:rPr>
          <w:rFonts w:hint="eastAsia" w:ascii="楷体_GB2312" w:hAnsi="宋体" w:eastAsia="楷体_GB2312" w:cs="宋体"/>
          <w:color w:val="000000"/>
          <w:kern w:val="0"/>
          <w:sz w:val="32"/>
          <w:szCs w:val="32"/>
        </w:rPr>
        <w:t>（四）结转结余率</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依据</w:t>
      </w: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2023年度决算报表，2023年度全年预算数</w:t>
      </w:r>
      <w:r>
        <w:rPr>
          <w:rFonts w:hint="eastAsia" w:ascii="仿宋_GB2312" w:hAnsi="宋体" w:eastAsia="仿宋_GB2312" w:cs="宋体"/>
          <w:kern w:val="0"/>
          <w:sz w:val="32"/>
          <w:szCs w:val="32"/>
        </w:rPr>
        <w:t>10272.58万元</w:t>
      </w:r>
      <w:r>
        <w:rPr>
          <w:rFonts w:ascii="仿宋_GB2312" w:hAnsi="宋体" w:eastAsia="仿宋_GB2312" w:cs="宋体"/>
          <w:kern w:val="0"/>
          <w:sz w:val="32"/>
          <w:szCs w:val="32"/>
        </w:rPr>
        <w:t>，</w:t>
      </w:r>
      <w:r>
        <w:rPr>
          <w:rFonts w:hint="eastAsia" w:ascii="仿宋_GB2312" w:hAnsi="宋体" w:eastAsia="仿宋_GB2312" w:cs="宋体"/>
          <w:kern w:val="0"/>
          <w:sz w:val="32"/>
          <w:szCs w:val="32"/>
        </w:rPr>
        <w:t>其中</w:t>
      </w:r>
      <w:r>
        <w:rPr>
          <w:rFonts w:ascii="仿宋_GB2312" w:hAnsi="宋体" w:eastAsia="仿宋_GB2312" w:cs="宋体"/>
          <w:kern w:val="0"/>
          <w:sz w:val="32"/>
          <w:szCs w:val="32"/>
        </w:rPr>
        <w:t>，基本</w:t>
      </w:r>
      <w:r>
        <w:rPr>
          <w:rFonts w:hint="eastAsia" w:ascii="仿宋_GB2312" w:hAnsi="宋体" w:eastAsia="仿宋_GB2312" w:cs="宋体"/>
          <w:kern w:val="0"/>
          <w:sz w:val="32"/>
          <w:szCs w:val="32"/>
        </w:rPr>
        <w:t>支出</w:t>
      </w:r>
      <w:r>
        <w:rPr>
          <w:rFonts w:ascii="仿宋_GB2312" w:hAnsi="宋体" w:eastAsia="仿宋_GB2312" w:cs="宋体"/>
          <w:kern w:val="0"/>
          <w:sz w:val="32"/>
          <w:szCs w:val="32"/>
        </w:rPr>
        <w:t>预算数</w:t>
      </w:r>
      <w:r>
        <w:rPr>
          <w:rFonts w:hint="eastAsia" w:ascii="仿宋_GB2312" w:hAnsi="宋体" w:eastAsia="仿宋_GB2312" w:cs="宋体"/>
          <w:kern w:val="0"/>
          <w:sz w:val="32"/>
          <w:szCs w:val="32"/>
        </w:rPr>
        <w:t>5865.14</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项目支出预算数1779.72</w:t>
      </w:r>
      <w:r>
        <w:rPr>
          <w:rFonts w:ascii="仿宋_GB2312" w:hAnsi="宋体" w:eastAsia="仿宋_GB2312" w:cs="宋体"/>
          <w:kern w:val="0"/>
          <w:sz w:val="32"/>
          <w:szCs w:val="32"/>
        </w:rPr>
        <w:t>万元</w:t>
      </w:r>
      <w:r>
        <w:rPr>
          <w:rFonts w:hint="eastAsia" w:ascii="仿宋_GB2312" w:hAnsi="宋体" w:eastAsia="仿宋_GB2312" w:cs="宋体"/>
          <w:kern w:val="0"/>
          <w:sz w:val="32"/>
          <w:szCs w:val="32"/>
        </w:rPr>
        <w:t>，经营支出预算数2627.72万元。</w:t>
      </w:r>
      <w:r>
        <w:rPr>
          <w:rFonts w:hint="eastAsia" w:ascii="仿宋_GB2312" w:hAnsi="宋体" w:eastAsia="仿宋_GB2312" w:cs="宋体"/>
          <w:color w:val="000000"/>
          <w:kern w:val="0"/>
          <w:sz w:val="32"/>
          <w:szCs w:val="32"/>
        </w:rPr>
        <w:t>全年结转结余总额1503.76万元，其中基本支出结转1642.32万元，项目支出结转和结余26.79万元，经营结余-165.35万元，2023年度结转结余率为14.64%，高于上年度结转结余率。</w:t>
      </w:r>
    </w:p>
    <w:p>
      <w:pPr>
        <w:spacing w:line="360" w:lineRule="auto"/>
        <w:ind w:firstLine="640" w:firstLineChars="200"/>
        <w:rPr>
          <w:rFonts w:ascii="楷体_GB2312" w:hAnsi="宋体" w:eastAsia="楷体_GB2312" w:cs="宋体"/>
          <w:color w:val="000000"/>
          <w:kern w:val="0"/>
          <w:sz w:val="32"/>
          <w:szCs w:val="32"/>
        </w:rPr>
      </w:pPr>
      <w:r>
        <w:rPr>
          <w:rFonts w:hint="eastAsia" w:ascii="楷体_GB2312" w:hAnsi="宋体" w:eastAsia="楷体_GB2312" w:cs="宋体"/>
          <w:color w:val="000000"/>
          <w:kern w:val="0"/>
          <w:sz w:val="32"/>
          <w:szCs w:val="32"/>
        </w:rPr>
        <w:t>（五）部门预决算差异率</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202</w:t>
      </w:r>
      <w:r>
        <w:rPr>
          <w:rFonts w:hint="eastAsia" w:ascii="仿宋_GB2312" w:hAnsi="宋体" w:eastAsia="仿宋_GB2312" w:cs="宋体"/>
          <w:color w:val="000000"/>
          <w:kern w:val="0"/>
          <w:sz w:val="32"/>
          <w:szCs w:val="32"/>
          <w:lang w:val="en-US" w:eastAsia="zh-CN"/>
        </w:rPr>
        <w:t>3</w:t>
      </w:r>
      <w:r>
        <w:rPr>
          <w:rFonts w:hint="eastAsia" w:ascii="仿宋_GB2312" w:hAnsi="宋体" w:eastAsia="仿宋_GB2312" w:cs="宋体"/>
          <w:color w:val="000000"/>
          <w:kern w:val="0"/>
          <w:sz w:val="32"/>
          <w:szCs w:val="32"/>
        </w:rPr>
        <w:t>年度年初预算数10816.17万元，年末决算数10063.21万元，年度预决算差异率-6.96%，低于市级平均差异率。</w:t>
      </w:r>
    </w:p>
    <w:p>
      <w:pPr>
        <w:spacing w:line="360" w:lineRule="auto"/>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360" w:lineRule="auto"/>
        <w:ind w:firstLine="640" w:firstLineChars="200"/>
        <w:rPr>
          <w:rFonts w:ascii="楷体_GB2312" w:hAnsi="宋体" w:eastAsia="楷体_GB2312" w:cs="宋体"/>
          <w:color w:val="000000"/>
          <w:kern w:val="0"/>
          <w:sz w:val="32"/>
          <w:szCs w:val="32"/>
        </w:rPr>
      </w:pPr>
      <w:r>
        <w:rPr>
          <w:rFonts w:hint="eastAsia" w:ascii="楷体_GB2312" w:hAnsi="宋体" w:eastAsia="楷体_GB2312" w:cs="宋体"/>
          <w:color w:val="000000"/>
          <w:kern w:val="0"/>
          <w:sz w:val="32"/>
          <w:szCs w:val="32"/>
        </w:rPr>
        <w:t>（一）评价得分情况</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本次部门整体绩效评价通过资料分析、专家咨询等多种方式开展了全面、系统、客观的分析评价，最终得分为91.59分，综合评价等级为“优”。其中：当年预算执行情况19.59分，整体绩效目标实现情况54分，预算管理情况18.00分，具体评分见《2023年部门整体绩效评价指标体系评分表》。</w:t>
      </w:r>
    </w:p>
    <w:p>
      <w:pPr>
        <w:spacing w:line="360" w:lineRule="auto"/>
        <w:ind w:firstLine="640" w:firstLineChars="200"/>
        <w:rPr>
          <w:rFonts w:ascii="楷体_GB2312" w:hAnsi="宋体" w:eastAsia="楷体_GB2312" w:cs="宋体"/>
          <w:color w:val="000000"/>
          <w:kern w:val="0"/>
          <w:sz w:val="32"/>
          <w:szCs w:val="32"/>
        </w:rPr>
      </w:pPr>
      <w:r>
        <w:rPr>
          <w:rFonts w:hint="eastAsia" w:ascii="楷体_GB2312" w:hAnsi="宋体" w:eastAsia="楷体_GB2312" w:cs="宋体"/>
          <w:color w:val="000000"/>
          <w:kern w:val="0"/>
          <w:sz w:val="32"/>
          <w:szCs w:val="32"/>
        </w:rPr>
        <w:t>（二）存在的问题及原因分析</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w:t>
      </w: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存在绩效目标设置不合理的问题。</w:t>
      </w:r>
      <w:r>
        <w:rPr>
          <w:rFonts w:hint="eastAsia" w:ascii="仿宋_GB2312" w:hAnsi="仿宋" w:eastAsia="仿宋_GB2312"/>
          <w:kern w:val="44"/>
          <w:sz w:val="32"/>
          <w:szCs w:val="32"/>
        </w:rPr>
        <w:t>绩效目标设定明确性不足，细化、量化不充分，缺少清晰、可衡量的指标值</w:t>
      </w:r>
      <w:r>
        <w:rPr>
          <w:rFonts w:hint="eastAsia" w:ascii="仿宋_GB2312" w:hAnsi="宋体" w:eastAsia="仿宋_GB2312" w:cs="宋体"/>
          <w:color w:val="000000"/>
          <w:kern w:val="0"/>
          <w:sz w:val="32"/>
          <w:szCs w:val="32"/>
        </w:rPr>
        <w:t>；效益指标与项目实施内容、目的及意义之间的结合、关联不充分，无法客观、充分地反映项目绩效。</w:t>
      </w:r>
    </w:p>
    <w:p>
      <w:pPr>
        <w:spacing w:line="360" w:lineRule="auto"/>
        <w:ind w:firstLine="640" w:firstLineChars="200"/>
        <w:rPr>
          <w:rFonts w:hint="eastAsia"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2.</w:t>
      </w: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2023年度存在</w:t>
      </w:r>
      <w:r>
        <w:rPr>
          <w:rFonts w:hint="eastAsia" w:ascii="仿宋_GB2312" w:eastAsia="仿宋_GB2312"/>
          <w:sz w:val="32"/>
          <w:szCs w:val="32"/>
        </w:rPr>
        <w:t>财政支出项目效益评估不充分的问题，主要原因为社会效益的分析评估方法不完善，对基础数据的采集和分析汇总不完整，缺少对项目效益关键考核指标前后的历史数据对比和评估分析。</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w:t>
      </w: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2023年度满意度调查工作不完善，受益群体的覆盖不完整。满意度调查工作是了解受益群体需求，发现问题和改进问题的重要手段，对部门改进服务质量、提高效率和效能、加强受益群体信任、提高受益群体参与、促进创新、法规遵守和合规性、政策制定和决策支持、资源优化、以及满足受益群体需求等方面具有积极的促进作用，有利于项目的可持续发展。</w:t>
      </w:r>
    </w:p>
    <w:p>
      <w:pPr>
        <w:spacing w:line="360" w:lineRule="auto"/>
        <w:ind w:left="105" w:leftChars="50" w:firstLine="480" w:firstLineChars="150"/>
        <w:rPr>
          <w:rFonts w:ascii="黑体" w:hAnsi="黑体" w:eastAsia="黑体"/>
          <w:sz w:val="32"/>
          <w:szCs w:val="32"/>
        </w:rPr>
      </w:pPr>
      <w:r>
        <w:rPr>
          <w:rFonts w:hint="eastAsia" w:ascii="黑体" w:hAnsi="黑体" w:eastAsia="黑体"/>
          <w:sz w:val="32"/>
          <w:szCs w:val="32"/>
        </w:rPr>
        <w:t>六、措施建议（整改措施、下一步工作举措）</w:t>
      </w:r>
    </w:p>
    <w:p>
      <w:pPr>
        <w:spacing w:line="360" w:lineRule="auto"/>
        <w:ind w:firstLine="640" w:firstLineChars="200"/>
        <w:rPr>
          <w:rFonts w:ascii="仿宋_GB2312" w:hAnsi="仿宋" w:eastAsia="仿宋_GB2312"/>
          <w:kern w:val="44"/>
          <w:sz w:val="32"/>
          <w:szCs w:val="32"/>
        </w:rPr>
      </w:pPr>
      <w:r>
        <w:rPr>
          <w:rFonts w:hint="eastAsia" w:ascii="仿宋_GB2312" w:hAnsi="仿宋" w:eastAsia="仿宋_GB2312"/>
          <w:kern w:val="44"/>
          <w:sz w:val="32"/>
          <w:szCs w:val="32"/>
        </w:rPr>
        <w:t>加强预算绩效管理意识，科学编制项目绩效目标，加强项目实施效益效果的呈现。结合项目实际，对绩效目标进一步分解细化、量化，加强项目预计产出与具体实施内容之间的对应，使项目的各项具体产出能够通过绩效目标得到完整体现。</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满意度调查工作是了解受益群体需求，发现问题和改进问题的重要手段，对部门改进服务质量、提高效率和效能、加强受益群体信任、提高受益群体参与、促进创新、法规遵守和合规性、政策制定和决策支持、资源优化、以及满足受益群体需求等方面具有积极的促进作用，有利于项目的可持续发展。</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建议</w:t>
      </w:r>
      <w:r>
        <w:rPr>
          <w:rFonts w:hint="eastAsia" w:ascii="仿宋_GB2312" w:hAnsi="宋体" w:eastAsia="仿宋_GB2312" w:cs="宋体"/>
          <w:color w:val="000000"/>
          <w:kern w:val="0"/>
          <w:sz w:val="32"/>
          <w:szCs w:val="32"/>
          <w:lang w:eastAsia="zh-CN"/>
        </w:rPr>
        <w:t>北京市公共交通高级技工学校</w:t>
      </w:r>
      <w:r>
        <w:rPr>
          <w:rFonts w:hint="eastAsia" w:ascii="仿宋_GB2312" w:hAnsi="宋体" w:eastAsia="仿宋_GB2312" w:cs="宋体"/>
          <w:color w:val="000000"/>
          <w:kern w:val="0"/>
          <w:sz w:val="32"/>
          <w:szCs w:val="32"/>
        </w:rPr>
        <w:t>在项目实施完成后，</w:t>
      </w:r>
      <w:r>
        <w:rPr>
          <w:rFonts w:hint="eastAsia" w:ascii="仿宋_GB2312" w:eastAsia="仿宋_GB2312"/>
          <w:sz w:val="32"/>
          <w:szCs w:val="32"/>
        </w:rPr>
        <w:t>积极运用信息化手段，根据各项目实施内容，合理设置问卷内容和选择调查对象及范围，有针对性地设计和开展满意度调查工作。对调查结果应加以分析整理，使其有效地应用于实际工作之中，为以后的项目实施提供客观、直接的基础支撑数据和经验积累。</w:t>
      </w:r>
    </w:p>
    <w:p>
      <w:pPr>
        <w:pStyle w:val="3"/>
        <w:spacing w:line="360" w:lineRule="auto"/>
        <w:rPr>
          <w:sz w:val="32"/>
          <w:szCs w:val="32"/>
        </w:rPr>
      </w:pPr>
      <w:bookmarkStart w:id="1" w:name="_Toc103006301"/>
      <w:r>
        <w:rPr>
          <w:rFonts w:hint="eastAsia"/>
          <w:sz w:val="32"/>
          <w:szCs w:val="32"/>
        </w:rPr>
        <w:t>七、附件</w:t>
      </w:r>
      <w:bookmarkEnd w:id="1"/>
    </w:p>
    <w:p>
      <w:pPr>
        <w:spacing w:line="360" w:lineRule="auto"/>
        <w:ind w:firstLine="641"/>
        <w:rPr>
          <w:rFonts w:ascii="仿宋_GB2312" w:hAnsi="仿宋_GB2312" w:eastAsia="仿宋_GB2312" w:cs="仿宋_GB2312"/>
          <w:sz w:val="32"/>
          <w:szCs w:val="32"/>
        </w:rPr>
        <w:sectPr>
          <w:footerReference r:id="rId3" w:type="default"/>
          <w:pgSz w:w="11906" w:h="16838"/>
          <w:pgMar w:top="1440" w:right="1800" w:bottom="1440" w:left="1800" w:header="851" w:footer="964" w:gutter="0"/>
          <w:cols w:space="425" w:num="1"/>
          <w:docGrid w:type="lines" w:linePitch="435" w:charSpace="0"/>
        </w:sectPr>
      </w:pPr>
      <w:r>
        <w:rPr>
          <w:rFonts w:hint="eastAsia" w:ascii="仿宋_GB2312" w:hAnsi="仿宋_GB2312" w:eastAsia="仿宋_GB2312" w:cs="仿宋_GB2312"/>
          <w:sz w:val="32"/>
          <w:szCs w:val="32"/>
        </w:rPr>
        <w:t>2023年部门整体绩效评价指标体系评分表</w:t>
      </w:r>
    </w:p>
    <w:p>
      <w:pPr>
        <w:spacing w:line="560" w:lineRule="exact"/>
        <w:jc w:val="left"/>
        <w:rPr>
          <w:rFonts w:ascii="方正黑体_GBK" w:hAnsi="方正黑体_GBK" w:eastAsia="方正黑体_GBK" w:cs="方正黑体_GBK"/>
          <w:sz w:val="32"/>
        </w:rPr>
      </w:pPr>
      <w:r>
        <w:rPr>
          <w:rFonts w:hint="eastAsia" w:ascii="方正黑体_GBK" w:hAnsi="方正黑体_GBK" w:eastAsia="方正黑体_GBK" w:cs="方正黑体_GBK"/>
          <w:sz w:val="32"/>
        </w:rPr>
        <w:t>附件4-1</w:t>
      </w:r>
    </w:p>
    <w:tbl>
      <w:tblPr>
        <w:tblStyle w:val="12"/>
        <w:tblpPr w:leftFromText="180" w:rightFromText="180" w:vertAnchor="text" w:horzAnchor="page" w:tblpX="1443" w:tblpY="569"/>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3"/>
        <w:gridCol w:w="1164"/>
        <w:gridCol w:w="1018"/>
        <w:gridCol w:w="1018"/>
        <w:gridCol w:w="916"/>
        <w:gridCol w:w="882"/>
        <w:gridCol w:w="899"/>
        <w:gridCol w:w="3595"/>
        <w:gridCol w:w="35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5000" w:type="pct"/>
            <w:gridSpan w:val="9"/>
            <w:tcBorders>
              <w:top w:val="nil"/>
              <w:left w:val="nil"/>
              <w:right w:val="nil"/>
            </w:tcBorders>
            <w:noWrap/>
            <w:vAlign w:val="bottom"/>
          </w:tcPr>
          <w:p>
            <w:pPr>
              <w:widowControl/>
              <w:jc w:val="center"/>
              <w:rPr>
                <w:rFonts w:ascii="方正小标宋简体" w:hAnsi="黑体" w:eastAsia="方正小标宋简体" w:cs="宋体"/>
                <w:color w:val="000000"/>
                <w:kern w:val="0"/>
                <w:sz w:val="44"/>
                <w:szCs w:val="44"/>
                <w:highlight w:val="yellow"/>
              </w:rPr>
            </w:pPr>
            <w:r>
              <w:rPr>
                <w:rFonts w:hint="eastAsia" w:ascii="方正小标宋简体" w:hAnsi="黑体" w:eastAsia="方正小标宋简体" w:cs="宋体"/>
                <w:color w:val="000000"/>
                <w:kern w:val="0"/>
                <w:sz w:val="44"/>
                <w:szCs w:val="44"/>
              </w:rPr>
              <w:t>2023年部门整体绩效评价指标体系评分表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5000" w:type="pct"/>
            <w:gridSpan w:val="9"/>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一、</w:t>
            </w:r>
            <w:r>
              <w:rPr>
                <w:rFonts w:hint="eastAsia" w:ascii="宋体" w:hAnsi="宋体" w:cs="宋体"/>
                <w:color w:val="000000"/>
                <w:kern w:val="0"/>
                <w:sz w:val="20"/>
                <w:szCs w:val="20"/>
              </w:rPr>
              <w:t>当年预算执行情况（20分）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60" w:hRule="atLeast"/>
        </w:trPr>
        <w:tc>
          <w:tcPr>
            <w:tcW w:w="407"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411"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预算数（万元）</w:t>
            </w: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执行数（万元）</w:t>
            </w:r>
          </w:p>
        </w:tc>
        <w:tc>
          <w:tcPr>
            <w:tcW w:w="323"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预算执行率</w:t>
            </w:r>
          </w:p>
        </w:tc>
        <w:tc>
          <w:tcPr>
            <w:tcW w:w="311"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317"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68"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指标解释</w:t>
            </w:r>
          </w:p>
        </w:tc>
        <w:tc>
          <w:tcPr>
            <w:tcW w:w="1245"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407" w:type="pct"/>
            <w:vMerge w:val="restar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当年预算执行情况（20）</w:t>
            </w:r>
          </w:p>
        </w:tc>
        <w:tc>
          <w:tcPr>
            <w:tcW w:w="411"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资金总体</w:t>
            </w:r>
          </w:p>
        </w:tc>
        <w:tc>
          <w:tcPr>
            <w:tcW w:w="359" w:type="pct"/>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10272.58</w:t>
            </w:r>
          </w:p>
        </w:tc>
        <w:tc>
          <w:tcPr>
            <w:tcW w:w="359" w:type="pct"/>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10063.21</w:t>
            </w:r>
          </w:p>
        </w:tc>
        <w:tc>
          <w:tcPr>
            <w:tcW w:w="323" w:type="pct"/>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97.96%</w:t>
            </w:r>
          </w:p>
        </w:tc>
        <w:tc>
          <w:tcPr>
            <w:tcW w:w="311" w:type="pct"/>
            <w:vMerge w:val="restart"/>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317" w:type="pct"/>
            <w:vMerge w:val="restart"/>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19.59</w:t>
            </w:r>
          </w:p>
        </w:tc>
        <w:tc>
          <w:tcPr>
            <w:tcW w:w="1268" w:type="pct"/>
            <w:vMerge w:val="restar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1245" w:type="pct"/>
            <w:vMerge w:val="restar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①得分一档最高不能超过该指标分值上限（20分）。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407" w:type="pct"/>
            <w:vMerge w:val="continue"/>
            <w:vAlign w:val="center"/>
          </w:tcPr>
          <w:p>
            <w:pPr>
              <w:widowControl/>
              <w:jc w:val="left"/>
              <w:rPr>
                <w:rFonts w:ascii="宋体" w:hAnsi="宋体" w:cs="宋体"/>
                <w:color w:val="000000"/>
                <w:kern w:val="0"/>
                <w:sz w:val="20"/>
                <w:szCs w:val="20"/>
              </w:rPr>
            </w:pPr>
          </w:p>
        </w:tc>
        <w:tc>
          <w:tcPr>
            <w:tcW w:w="411"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基本支出</w:t>
            </w:r>
          </w:p>
        </w:tc>
        <w:tc>
          <w:tcPr>
            <w:tcW w:w="359" w:type="pct"/>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5865.14</w:t>
            </w:r>
            <w:r>
              <w:rPr>
                <w:rFonts w:hint="eastAsia" w:ascii="宋体" w:hAnsi="宋体" w:cs="宋体"/>
                <w:color w:val="000000"/>
                <w:kern w:val="0"/>
                <w:sz w:val="20"/>
                <w:szCs w:val="20"/>
              </w:rPr>
              <w:t>　</w:t>
            </w:r>
          </w:p>
        </w:tc>
        <w:tc>
          <w:tcPr>
            <w:tcW w:w="359" w:type="pct"/>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5753.07</w:t>
            </w:r>
          </w:p>
        </w:tc>
        <w:tc>
          <w:tcPr>
            <w:tcW w:w="323" w:type="pct"/>
            <w:vMerge w:val="restar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311" w:type="pct"/>
            <w:vMerge w:val="continue"/>
            <w:vAlign w:val="center"/>
          </w:tcPr>
          <w:p>
            <w:pPr>
              <w:widowControl/>
              <w:jc w:val="left"/>
              <w:rPr>
                <w:rFonts w:ascii="宋体" w:hAnsi="宋体" w:cs="宋体"/>
                <w:color w:val="000000"/>
                <w:kern w:val="0"/>
                <w:sz w:val="20"/>
                <w:szCs w:val="20"/>
              </w:rPr>
            </w:pPr>
          </w:p>
        </w:tc>
        <w:tc>
          <w:tcPr>
            <w:tcW w:w="317" w:type="pct"/>
            <w:vMerge w:val="continue"/>
            <w:vAlign w:val="center"/>
          </w:tcPr>
          <w:p>
            <w:pPr>
              <w:widowControl/>
              <w:jc w:val="left"/>
              <w:rPr>
                <w:rFonts w:ascii="宋体" w:hAnsi="宋体" w:cs="宋体"/>
                <w:color w:val="000000"/>
                <w:kern w:val="0"/>
                <w:sz w:val="20"/>
                <w:szCs w:val="20"/>
              </w:rPr>
            </w:pPr>
          </w:p>
        </w:tc>
        <w:tc>
          <w:tcPr>
            <w:tcW w:w="1268" w:type="pct"/>
            <w:vMerge w:val="continue"/>
            <w:vAlign w:val="center"/>
          </w:tcPr>
          <w:p>
            <w:pPr>
              <w:widowControl/>
              <w:jc w:val="left"/>
              <w:rPr>
                <w:rFonts w:ascii="宋体" w:hAnsi="宋体" w:cs="宋体"/>
                <w:color w:val="000000"/>
                <w:kern w:val="0"/>
                <w:sz w:val="18"/>
                <w:szCs w:val="18"/>
              </w:rPr>
            </w:pPr>
          </w:p>
        </w:tc>
        <w:tc>
          <w:tcPr>
            <w:tcW w:w="1245"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407" w:type="pct"/>
            <w:vMerge w:val="continue"/>
            <w:vAlign w:val="center"/>
          </w:tcPr>
          <w:p>
            <w:pPr>
              <w:widowControl/>
              <w:jc w:val="left"/>
              <w:rPr>
                <w:rFonts w:ascii="宋体" w:hAnsi="宋体" w:cs="宋体"/>
                <w:color w:val="000000"/>
                <w:kern w:val="0"/>
                <w:sz w:val="20"/>
                <w:szCs w:val="20"/>
              </w:rPr>
            </w:pPr>
          </w:p>
        </w:tc>
        <w:tc>
          <w:tcPr>
            <w:tcW w:w="411"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项目支出</w:t>
            </w:r>
          </w:p>
        </w:tc>
        <w:tc>
          <w:tcPr>
            <w:tcW w:w="359" w:type="pct"/>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1779.72</w:t>
            </w:r>
          </w:p>
        </w:tc>
        <w:tc>
          <w:tcPr>
            <w:tcW w:w="359" w:type="pct"/>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1752.92</w:t>
            </w:r>
          </w:p>
        </w:tc>
        <w:tc>
          <w:tcPr>
            <w:tcW w:w="323" w:type="pct"/>
            <w:vMerge w:val="continue"/>
            <w:vAlign w:val="center"/>
          </w:tcPr>
          <w:p>
            <w:pPr>
              <w:widowControl/>
              <w:jc w:val="left"/>
              <w:rPr>
                <w:rFonts w:ascii="宋体" w:hAnsi="宋体" w:cs="宋体"/>
                <w:color w:val="000000"/>
                <w:kern w:val="0"/>
                <w:sz w:val="20"/>
                <w:szCs w:val="20"/>
              </w:rPr>
            </w:pPr>
          </w:p>
        </w:tc>
        <w:tc>
          <w:tcPr>
            <w:tcW w:w="311" w:type="pct"/>
            <w:vMerge w:val="continue"/>
            <w:vAlign w:val="center"/>
          </w:tcPr>
          <w:p>
            <w:pPr>
              <w:widowControl/>
              <w:jc w:val="left"/>
              <w:rPr>
                <w:rFonts w:ascii="宋体" w:hAnsi="宋体" w:cs="宋体"/>
                <w:color w:val="000000"/>
                <w:kern w:val="0"/>
                <w:sz w:val="20"/>
                <w:szCs w:val="20"/>
              </w:rPr>
            </w:pPr>
          </w:p>
        </w:tc>
        <w:tc>
          <w:tcPr>
            <w:tcW w:w="317" w:type="pct"/>
            <w:vMerge w:val="continue"/>
            <w:vAlign w:val="center"/>
          </w:tcPr>
          <w:p>
            <w:pPr>
              <w:widowControl/>
              <w:jc w:val="left"/>
              <w:rPr>
                <w:rFonts w:ascii="宋体" w:hAnsi="宋体" w:cs="宋体"/>
                <w:color w:val="000000"/>
                <w:kern w:val="0"/>
                <w:sz w:val="20"/>
                <w:szCs w:val="20"/>
              </w:rPr>
            </w:pPr>
          </w:p>
        </w:tc>
        <w:tc>
          <w:tcPr>
            <w:tcW w:w="1268" w:type="pct"/>
            <w:vMerge w:val="continue"/>
            <w:vAlign w:val="center"/>
          </w:tcPr>
          <w:p>
            <w:pPr>
              <w:widowControl/>
              <w:jc w:val="left"/>
              <w:rPr>
                <w:rFonts w:ascii="宋体" w:hAnsi="宋体" w:cs="宋体"/>
                <w:color w:val="000000"/>
                <w:kern w:val="0"/>
                <w:sz w:val="18"/>
                <w:szCs w:val="18"/>
              </w:rPr>
            </w:pPr>
          </w:p>
        </w:tc>
        <w:tc>
          <w:tcPr>
            <w:tcW w:w="1245"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36" w:hRule="atLeast"/>
        </w:trPr>
        <w:tc>
          <w:tcPr>
            <w:tcW w:w="407" w:type="pct"/>
            <w:vMerge w:val="continue"/>
            <w:vAlign w:val="center"/>
          </w:tcPr>
          <w:p>
            <w:pPr>
              <w:widowControl/>
              <w:jc w:val="left"/>
              <w:rPr>
                <w:rFonts w:ascii="宋体" w:hAnsi="宋体" w:cs="宋体"/>
                <w:color w:val="000000"/>
                <w:kern w:val="0"/>
                <w:sz w:val="20"/>
                <w:szCs w:val="20"/>
              </w:rPr>
            </w:pPr>
          </w:p>
        </w:tc>
        <w:tc>
          <w:tcPr>
            <w:tcW w:w="411"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其他</w:t>
            </w:r>
          </w:p>
        </w:tc>
        <w:tc>
          <w:tcPr>
            <w:tcW w:w="359" w:type="pct"/>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2627.72</w:t>
            </w:r>
          </w:p>
        </w:tc>
        <w:tc>
          <w:tcPr>
            <w:tcW w:w="359" w:type="pct"/>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2557.22</w:t>
            </w:r>
          </w:p>
        </w:tc>
        <w:tc>
          <w:tcPr>
            <w:tcW w:w="323" w:type="pct"/>
            <w:vMerge w:val="continue"/>
            <w:vAlign w:val="center"/>
          </w:tcPr>
          <w:p>
            <w:pPr>
              <w:widowControl/>
              <w:jc w:val="left"/>
              <w:rPr>
                <w:rFonts w:ascii="宋体" w:hAnsi="宋体" w:cs="宋体"/>
                <w:color w:val="000000"/>
                <w:kern w:val="0"/>
                <w:sz w:val="20"/>
                <w:szCs w:val="20"/>
              </w:rPr>
            </w:pPr>
          </w:p>
        </w:tc>
        <w:tc>
          <w:tcPr>
            <w:tcW w:w="311" w:type="pct"/>
            <w:vMerge w:val="continue"/>
            <w:vAlign w:val="center"/>
          </w:tcPr>
          <w:p>
            <w:pPr>
              <w:widowControl/>
              <w:jc w:val="left"/>
              <w:rPr>
                <w:rFonts w:ascii="宋体" w:hAnsi="宋体" w:cs="宋体"/>
                <w:color w:val="000000"/>
                <w:kern w:val="0"/>
                <w:sz w:val="20"/>
                <w:szCs w:val="20"/>
              </w:rPr>
            </w:pPr>
          </w:p>
        </w:tc>
        <w:tc>
          <w:tcPr>
            <w:tcW w:w="317" w:type="pct"/>
            <w:vMerge w:val="continue"/>
            <w:vAlign w:val="center"/>
          </w:tcPr>
          <w:p>
            <w:pPr>
              <w:widowControl/>
              <w:jc w:val="left"/>
              <w:rPr>
                <w:rFonts w:ascii="宋体" w:hAnsi="宋体" w:cs="宋体"/>
                <w:color w:val="000000"/>
                <w:kern w:val="0"/>
                <w:sz w:val="20"/>
                <w:szCs w:val="20"/>
              </w:rPr>
            </w:pPr>
          </w:p>
        </w:tc>
        <w:tc>
          <w:tcPr>
            <w:tcW w:w="1268" w:type="pct"/>
            <w:vMerge w:val="continue"/>
            <w:vAlign w:val="center"/>
          </w:tcPr>
          <w:p>
            <w:pPr>
              <w:widowControl/>
              <w:jc w:val="left"/>
              <w:rPr>
                <w:rFonts w:ascii="宋体" w:hAnsi="宋体" w:cs="宋体"/>
                <w:color w:val="000000"/>
                <w:kern w:val="0"/>
                <w:sz w:val="18"/>
                <w:szCs w:val="18"/>
              </w:rPr>
            </w:pPr>
          </w:p>
        </w:tc>
        <w:tc>
          <w:tcPr>
            <w:tcW w:w="1245"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9" w:hRule="atLeast"/>
        </w:trPr>
        <w:tc>
          <w:tcPr>
            <w:tcW w:w="5000" w:type="pct"/>
            <w:gridSpan w:val="9"/>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二</w:t>
            </w:r>
            <w:r>
              <w:rPr>
                <w:rFonts w:ascii="宋体" w:hAnsi="宋体" w:cs="宋体"/>
                <w:color w:val="000000"/>
                <w:kern w:val="0"/>
                <w:sz w:val="18"/>
                <w:szCs w:val="18"/>
              </w:rPr>
              <w:t>、</w:t>
            </w:r>
            <w:r>
              <w:rPr>
                <w:rFonts w:hint="eastAsia" w:ascii="宋体" w:hAnsi="宋体" w:cs="宋体"/>
                <w:color w:val="000000"/>
                <w:kern w:val="0"/>
                <w:sz w:val="20"/>
                <w:szCs w:val="20"/>
              </w:rPr>
              <w:t>整体绩效目标实现情况（60分）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9" w:hRule="atLeast"/>
        </w:trPr>
        <w:tc>
          <w:tcPr>
            <w:tcW w:w="407"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411"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r>
              <w:rPr>
                <w:rFonts w:hint="eastAsia" w:ascii="宋体" w:hAnsi="宋体" w:cs="宋体"/>
                <w:color w:val="000000"/>
                <w:kern w:val="0"/>
                <w:sz w:val="20"/>
                <w:szCs w:val="20"/>
              </w:rPr>
              <w:t>　</w:t>
            </w: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指标值</w:t>
            </w:r>
          </w:p>
        </w:tc>
        <w:tc>
          <w:tcPr>
            <w:tcW w:w="323"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完成值</w:t>
            </w:r>
          </w:p>
        </w:tc>
        <w:tc>
          <w:tcPr>
            <w:tcW w:w="311"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317"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68" w:type="pct"/>
            <w:vAlign w:val="center"/>
          </w:tcPr>
          <w:p>
            <w:pPr>
              <w:widowControl/>
              <w:jc w:val="center"/>
              <w:rPr>
                <w:rFonts w:ascii="宋体" w:hAnsi="宋体" w:cs="宋体"/>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245"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96" w:hRule="atLeast"/>
        </w:trPr>
        <w:tc>
          <w:tcPr>
            <w:tcW w:w="407" w:type="pct"/>
            <w:vMerge w:val="restar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整体绩效目标实现情况（60）</w:t>
            </w:r>
          </w:p>
        </w:tc>
        <w:tc>
          <w:tcPr>
            <w:tcW w:w="411" w:type="pct"/>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产出（0）</w:t>
            </w:r>
          </w:p>
        </w:tc>
        <w:tc>
          <w:tcPr>
            <w:tcW w:w="359" w:type="pct"/>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359" w:type="pct"/>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w:t>
            </w:r>
          </w:p>
        </w:tc>
        <w:tc>
          <w:tcPr>
            <w:tcW w:w="323"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311" w:type="pct"/>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317" w:type="pct"/>
            <w:vAlign w:val="center"/>
          </w:tcPr>
          <w:p>
            <w:pPr>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1268" w:type="pct"/>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产出数量</w:t>
            </w:r>
            <w:r>
              <w:rPr>
                <w:rFonts w:hint="eastAsia" w:ascii="宋体" w:hAnsi="宋体" w:cs="宋体"/>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宋体" w:hAnsi="宋体" w:cs="宋体"/>
                <w:b/>
                <w:bCs/>
                <w:color w:val="000000"/>
                <w:kern w:val="0"/>
                <w:sz w:val="18"/>
                <w:szCs w:val="18"/>
              </w:rPr>
              <w:t>产出质量</w:t>
            </w:r>
            <w:r>
              <w:rPr>
                <w:rFonts w:hint="eastAsia" w:ascii="宋体" w:hAnsi="宋体" w:cs="宋体"/>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hint="eastAsia" w:ascii="宋体" w:hAnsi="宋体" w:cs="宋体"/>
                <w:b/>
                <w:bCs/>
                <w:color w:val="000000"/>
                <w:kern w:val="0"/>
                <w:sz w:val="18"/>
                <w:szCs w:val="18"/>
              </w:rPr>
              <w:t>产出进度：</w:t>
            </w:r>
            <w:r>
              <w:rPr>
                <w:rFonts w:hint="eastAsia" w:ascii="宋体" w:hAnsi="宋体" w:cs="宋体"/>
                <w:color w:val="000000"/>
                <w:kern w:val="0"/>
                <w:sz w:val="18"/>
                <w:szCs w:val="18"/>
              </w:rPr>
              <w:t>按时完成率=（按时完成工作数/实际完成工作数）×100%。按时完成工作数：部门（单位）按照整体绩效目标确定的时限实际完成的工作任务数量。</w:t>
            </w:r>
            <w:r>
              <w:rPr>
                <w:rFonts w:hint="eastAsia" w:ascii="宋体" w:hAnsi="宋体" w:cs="宋体"/>
                <w:b/>
                <w:bCs/>
                <w:color w:val="000000"/>
                <w:kern w:val="0"/>
                <w:sz w:val="18"/>
                <w:szCs w:val="18"/>
              </w:rPr>
              <w:t>产出成本</w:t>
            </w:r>
            <w:r>
              <w:rPr>
                <w:rFonts w:hint="eastAsia" w:ascii="宋体" w:hAnsi="宋体" w:cs="宋体"/>
                <w:color w:val="000000"/>
                <w:kern w:val="0"/>
                <w:sz w:val="18"/>
                <w:szCs w:val="18"/>
              </w:rPr>
              <w:t>：单位产出相对于上一年度的节约额；②单位产出相对于市场同类产出的节约额；③部门公用经费的控制情况。</w:t>
            </w:r>
          </w:p>
        </w:tc>
        <w:tc>
          <w:tcPr>
            <w:tcW w:w="1245"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407" w:type="pct"/>
            <w:vMerge w:val="continue"/>
            <w:vAlign w:val="center"/>
          </w:tcPr>
          <w:p>
            <w:pPr>
              <w:widowControl/>
              <w:jc w:val="left"/>
              <w:rPr>
                <w:rFonts w:ascii="宋体" w:hAnsi="宋体" w:cs="宋体"/>
                <w:color w:val="000000"/>
                <w:kern w:val="0"/>
                <w:sz w:val="20"/>
                <w:szCs w:val="20"/>
              </w:rPr>
            </w:pPr>
          </w:p>
        </w:tc>
        <w:tc>
          <w:tcPr>
            <w:tcW w:w="411" w:type="pct"/>
            <w:vMerge w:val="restar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效果（60）</w:t>
            </w: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指标1</w:t>
            </w: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完善后勤服务管理</w:t>
            </w:r>
          </w:p>
        </w:tc>
        <w:tc>
          <w:tcPr>
            <w:tcW w:w="323"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p>
        </w:tc>
        <w:tc>
          <w:tcPr>
            <w:tcW w:w="311" w:type="pct"/>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w:t>
            </w:r>
          </w:p>
        </w:tc>
        <w:tc>
          <w:tcPr>
            <w:tcW w:w="317" w:type="pct"/>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268" w:type="pct"/>
            <w:vMerge w:val="restart"/>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经济效益</w:t>
            </w:r>
            <w:r>
              <w:rPr>
                <w:rFonts w:hint="eastAsia" w:ascii="宋体" w:hAnsi="宋体" w:cs="宋体"/>
                <w:color w:val="000000"/>
                <w:kern w:val="0"/>
                <w:sz w:val="18"/>
                <w:szCs w:val="18"/>
              </w:rPr>
              <w:t>：部门（单位）履行职责对经济发展所带来的直接或间接影响。</w:t>
            </w:r>
            <w:r>
              <w:rPr>
                <w:rFonts w:hint="eastAsia" w:ascii="宋体" w:hAnsi="宋体" w:cs="宋体"/>
                <w:b/>
                <w:bCs/>
                <w:color w:val="000000"/>
                <w:kern w:val="0"/>
                <w:sz w:val="18"/>
                <w:szCs w:val="18"/>
              </w:rPr>
              <w:t>社会效益</w:t>
            </w:r>
            <w:r>
              <w:rPr>
                <w:rFonts w:hint="eastAsia" w:ascii="宋体" w:hAnsi="宋体" w:cs="宋体"/>
                <w:color w:val="000000"/>
                <w:kern w:val="0"/>
                <w:sz w:val="18"/>
                <w:szCs w:val="18"/>
              </w:rPr>
              <w:t>：部门（单位）履行职责对社会发展所带来的直接或间接影响。</w:t>
            </w:r>
            <w:r>
              <w:rPr>
                <w:rFonts w:hint="eastAsia" w:ascii="宋体" w:hAnsi="宋体" w:cs="宋体"/>
                <w:b/>
                <w:bCs/>
                <w:color w:val="000000"/>
                <w:kern w:val="0"/>
                <w:sz w:val="18"/>
                <w:szCs w:val="18"/>
              </w:rPr>
              <w:t>环境效益</w:t>
            </w:r>
            <w:r>
              <w:rPr>
                <w:rFonts w:hint="eastAsia" w:ascii="宋体" w:hAnsi="宋体" w:cs="宋体"/>
                <w:color w:val="000000"/>
                <w:kern w:val="0"/>
                <w:sz w:val="18"/>
                <w:szCs w:val="18"/>
              </w:rPr>
              <w:t>：部门（单位）履行职责对环境所带来的直接或间接影响。</w:t>
            </w:r>
            <w:r>
              <w:rPr>
                <w:rFonts w:hint="eastAsia" w:ascii="宋体" w:hAnsi="宋体" w:cs="宋体"/>
                <w:b/>
                <w:bCs/>
                <w:color w:val="000000"/>
                <w:kern w:val="0"/>
                <w:sz w:val="18"/>
                <w:szCs w:val="18"/>
              </w:rPr>
              <w:t>可持续性影响：</w:t>
            </w:r>
            <w:r>
              <w:rPr>
                <w:rFonts w:hint="eastAsia" w:ascii="宋体" w:hAnsi="宋体" w:cs="宋体"/>
                <w:color w:val="000000"/>
                <w:kern w:val="0"/>
                <w:sz w:val="18"/>
                <w:szCs w:val="18"/>
              </w:rPr>
              <w:t>部门绩效目标实现的长效机制建设情况，部门工作效率提升措施的创新。</w:t>
            </w:r>
            <w:r>
              <w:rPr>
                <w:rFonts w:hint="eastAsia" w:ascii="宋体" w:hAnsi="宋体" w:cs="宋体"/>
                <w:b/>
                <w:bCs/>
                <w:color w:val="000000"/>
                <w:kern w:val="0"/>
                <w:sz w:val="18"/>
                <w:szCs w:val="18"/>
              </w:rPr>
              <w:t>服务对象满意度</w:t>
            </w:r>
            <w:r>
              <w:rPr>
                <w:rFonts w:hint="eastAsia" w:ascii="宋体" w:hAnsi="宋体" w:cs="宋体"/>
                <w:color w:val="000000"/>
                <w:kern w:val="0"/>
                <w:sz w:val="18"/>
                <w:szCs w:val="18"/>
              </w:rPr>
              <w:t>：部门（单位）的服务对象对部门履职效果的满意程度。</w:t>
            </w:r>
          </w:p>
        </w:tc>
        <w:tc>
          <w:tcPr>
            <w:tcW w:w="1245" w:type="pct"/>
            <w:vMerge w:val="restar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trPr>
        <w:tc>
          <w:tcPr>
            <w:tcW w:w="407" w:type="pct"/>
            <w:vMerge w:val="continue"/>
            <w:vAlign w:val="center"/>
          </w:tcPr>
          <w:p>
            <w:pPr>
              <w:widowControl/>
              <w:jc w:val="left"/>
              <w:rPr>
                <w:rFonts w:ascii="宋体" w:hAnsi="宋体" w:cs="宋体"/>
                <w:color w:val="000000"/>
                <w:kern w:val="0"/>
                <w:sz w:val="20"/>
                <w:szCs w:val="20"/>
              </w:rPr>
            </w:pPr>
          </w:p>
        </w:tc>
        <w:tc>
          <w:tcPr>
            <w:tcW w:w="411" w:type="pct"/>
            <w:vMerge w:val="continue"/>
            <w:vAlign w:val="center"/>
          </w:tcPr>
          <w:p>
            <w:pPr>
              <w:widowControl/>
              <w:jc w:val="left"/>
              <w:rPr>
                <w:rFonts w:ascii="宋体" w:hAnsi="宋体" w:cs="宋体"/>
                <w:color w:val="000000"/>
                <w:kern w:val="0"/>
                <w:sz w:val="20"/>
                <w:szCs w:val="20"/>
              </w:rPr>
            </w:pP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指标2</w:t>
            </w: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完成师资队伍建设和人才培养目标</w:t>
            </w:r>
          </w:p>
        </w:tc>
        <w:tc>
          <w:tcPr>
            <w:tcW w:w="323"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p>
        </w:tc>
        <w:tc>
          <w:tcPr>
            <w:tcW w:w="311" w:type="pct"/>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w:t>
            </w:r>
          </w:p>
        </w:tc>
        <w:tc>
          <w:tcPr>
            <w:tcW w:w="317" w:type="pct"/>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13</w:t>
            </w:r>
          </w:p>
        </w:tc>
        <w:tc>
          <w:tcPr>
            <w:tcW w:w="1268" w:type="pct"/>
            <w:vMerge w:val="continue"/>
            <w:vAlign w:val="center"/>
          </w:tcPr>
          <w:p>
            <w:pPr>
              <w:widowControl/>
              <w:jc w:val="left"/>
              <w:rPr>
                <w:rFonts w:ascii="宋体" w:hAnsi="宋体" w:cs="宋体"/>
                <w:color w:val="000000"/>
                <w:kern w:val="0"/>
                <w:sz w:val="18"/>
                <w:szCs w:val="18"/>
              </w:rPr>
            </w:pPr>
          </w:p>
        </w:tc>
        <w:tc>
          <w:tcPr>
            <w:tcW w:w="1245"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407" w:type="pct"/>
            <w:vMerge w:val="continue"/>
            <w:vAlign w:val="center"/>
          </w:tcPr>
          <w:p>
            <w:pPr>
              <w:widowControl/>
              <w:jc w:val="left"/>
              <w:rPr>
                <w:rFonts w:ascii="宋体" w:hAnsi="宋体" w:cs="宋体"/>
                <w:color w:val="000000"/>
                <w:kern w:val="0"/>
                <w:sz w:val="20"/>
                <w:szCs w:val="20"/>
              </w:rPr>
            </w:pPr>
          </w:p>
        </w:tc>
        <w:tc>
          <w:tcPr>
            <w:tcW w:w="411" w:type="pct"/>
            <w:vMerge w:val="continue"/>
            <w:vAlign w:val="center"/>
          </w:tcPr>
          <w:p>
            <w:pPr>
              <w:widowControl/>
              <w:jc w:val="left"/>
              <w:rPr>
                <w:rFonts w:ascii="宋体" w:hAnsi="宋体" w:cs="宋体"/>
                <w:color w:val="000000"/>
                <w:kern w:val="0"/>
                <w:sz w:val="20"/>
                <w:szCs w:val="20"/>
              </w:rPr>
            </w:pP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指标3</w:t>
            </w: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完成教学任务</w:t>
            </w:r>
          </w:p>
        </w:tc>
        <w:tc>
          <w:tcPr>
            <w:tcW w:w="323"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p>
        </w:tc>
        <w:tc>
          <w:tcPr>
            <w:tcW w:w="311" w:type="pct"/>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w:t>
            </w:r>
          </w:p>
        </w:tc>
        <w:tc>
          <w:tcPr>
            <w:tcW w:w="317" w:type="pct"/>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w:t>
            </w:r>
          </w:p>
        </w:tc>
        <w:tc>
          <w:tcPr>
            <w:tcW w:w="1268" w:type="pct"/>
            <w:vMerge w:val="continue"/>
            <w:vAlign w:val="center"/>
          </w:tcPr>
          <w:p>
            <w:pPr>
              <w:widowControl/>
              <w:jc w:val="left"/>
              <w:rPr>
                <w:rFonts w:ascii="宋体" w:hAnsi="宋体" w:cs="宋体"/>
                <w:color w:val="000000"/>
                <w:kern w:val="0"/>
                <w:sz w:val="18"/>
                <w:szCs w:val="18"/>
              </w:rPr>
            </w:pPr>
          </w:p>
        </w:tc>
        <w:tc>
          <w:tcPr>
            <w:tcW w:w="1245"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407" w:type="pct"/>
            <w:vMerge w:val="continue"/>
            <w:vAlign w:val="center"/>
          </w:tcPr>
          <w:p>
            <w:pPr>
              <w:widowControl/>
              <w:jc w:val="left"/>
              <w:rPr>
                <w:rFonts w:ascii="宋体" w:hAnsi="宋体" w:cs="宋体"/>
                <w:color w:val="000000"/>
                <w:kern w:val="0"/>
                <w:sz w:val="20"/>
                <w:szCs w:val="20"/>
              </w:rPr>
            </w:pPr>
          </w:p>
        </w:tc>
        <w:tc>
          <w:tcPr>
            <w:tcW w:w="411" w:type="pct"/>
            <w:vMerge w:val="continue"/>
            <w:vAlign w:val="center"/>
          </w:tcPr>
          <w:p>
            <w:pPr>
              <w:widowControl/>
              <w:jc w:val="left"/>
              <w:rPr>
                <w:rFonts w:ascii="宋体" w:hAnsi="宋体" w:cs="宋体"/>
                <w:color w:val="000000"/>
                <w:kern w:val="0"/>
                <w:sz w:val="20"/>
                <w:szCs w:val="20"/>
              </w:rPr>
            </w:pP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指标4</w:t>
            </w: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完成德育教育工作</w:t>
            </w:r>
          </w:p>
        </w:tc>
        <w:tc>
          <w:tcPr>
            <w:tcW w:w="323"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p>
        </w:tc>
        <w:tc>
          <w:tcPr>
            <w:tcW w:w="311" w:type="pct"/>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w:t>
            </w:r>
          </w:p>
        </w:tc>
        <w:tc>
          <w:tcPr>
            <w:tcW w:w="317" w:type="pct"/>
            <w:noWrap/>
            <w:vAlign w:val="center"/>
          </w:tcPr>
          <w:p>
            <w:pPr>
              <w:widowControl/>
              <w:jc w:val="center"/>
              <w:rPr>
                <w:rFonts w:hint="eastAsia" w:ascii="宋体" w:hAnsi="宋体" w:cs="宋体"/>
                <w:color w:val="000000"/>
                <w:kern w:val="0"/>
                <w:sz w:val="20"/>
                <w:szCs w:val="20"/>
              </w:rPr>
            </w:pPr>
            <w:r>
              <w:rPr>
                <w:rFonts w:hint="eastAsia" w:ascii="宋体" w:hAnsi="宋体" w:cs="宋体"/>
                <w:color w:val="000000"/>
                <w:kern w:val="0"/>
                <w:sz w:val="20"/>
                <w:szCs w:val="20"/>
              </w:rPr>
              <w:t>15</w:t>
            </w:r>
          </w:p>
        </w:tc>
        <w:tc>
          <w:tcPr>
            <w:tcW w:w="1268" w:type="pct"/>
            <w:vMerge w:val="continue"/>
            <w:vAlign w:val="center"/>
          </w:tcPr>
          <w:p>
            <w:pPr>
              <w:widowControl/>
              <w:jc w:val="left"/>
              <w:rPr>
                <w:rFonts w:ascii="宋体" w:hAnsi="宋体" w:cs="宋体"/>
                <w:color w:val="000000"/>
                <w:kern w:val="0"/>
                <w:sz w:val="18"/>
                <w:szCs w:val="18"/>
              </w:rPr>
            </w:pPr>
          </w:p>
        </w:tc>
        <w:tc>
          <w:tcPr>
            <w:tcW w:w="1245" w:type="pct"/>
            <w:vMerge w:val="continue"/>
            <w:vAlign w:val="center"/>
          </w:tcPr>
          <w:p>
            <w:pPr>
              <w:widowControl/>
              <w:jc w:val="left"/>
              <w:rPr>
                <w:rFonts w:ascii="宋体" w:hAnsi="宋体" w:cs="宋体"/>
                <w:color w:val="000000"/>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5000" w:type="pct"/>
            <w:gridSpan w:val="9"/>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三</w:t>
            </w:r>
            <w:r>
              <w:rPr>
                <w:rFonts w:ascii="宋体" w:hAnsi="宋体" w:cs="宋体"/>
                <w:color w:val="000000"/>
                <w:kern w:val="0"/>
                <w:sz w:val="18"/>
                <w:szCs w:val="18"/>
              </w:rPr>
              <w:t>、</w:t>
            </w:r>
            <w:r>
              <w:rPr>
                <w:rFonts w:hint="eastAsia" w:ascii="宋体" w:hAnsi="宋体" w:cs="宋体"/>
                <w:color w:val="000000"/>
                <w:kern w:val="0"/>
                <w:sz w:val="20"/>
                <w:szCs w:val="20"/>
              </w:rPr>
              <w:t>预算管理情况（20分）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2" w:hRule="atLeast"/>
        </w:trPr>
        <w:tc>
          <w:tcPr>
            <w:tcW w:w="407"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一</w:t>
            </w:r>
            <w:r>
              <w:rPr>
                <w:rFonts w:ascii="宋体" w:hAnsi="宋体" w:cs="宋体"/>
                <w:color w:val="000000"/>
                <w:kern w:val="0"/>
                <w:sz w:val="20"/>
                <w:szCs w:val="20"/>
              </w:rPr>
              <w:t>级指标</w:t>
            </w:r>
          </w:p>
        </w:tc>
        <w:tc>
          <w:tcPr>
            <w:tcW w:w="411"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二</w:t>
            </w:r>
            <w:r>
              <w:rPr>
                <w:rFonts w:ascii="宋体" w:hAnsi="宋体" w:cs="宋体"/>
                <w:color w:val="000000"/>
                <w:kern w:val="0"/>
                <w:sz w:val="20"/>
                <w:szCs w:val="20"/>
              </w:rPr>
              <w:t>级指标</w:t>
            </w: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三</w:t>
            </w:r>
            <w:r>
              <w:rPr>
                <w:rFonts w:ascii="宋体" w:hAnsi="宋体" w:cs="宋体"/>
                <w:color w:val="000000"/>
                <w:kern w:val="0"/>
                <w:sz w:val="20"/>
                <w:szCs w:val="20"/>
              </w:rPr>
              <w:t>级指标</w:t>
            </w: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w:t>
            </w:r>
            <w:r>
              <w:rPr>
                <w:rFonts w:ascii="宋体" w:hAnsi="宋体" w:cs="宋体"/>
                <w:color w:val="000000"/>
                <w:kern w:val="0"/>
                <w:sz w:val="20"/>
                <w:szCs w:val="20"/>
              </w:rPr>
              <w:t>值</w:t>
            </w:r>
          </w:p>
        </w:tc>
        <w:tc>
          <w:tcPr>
            <w:tcW w:w="323"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完成</w:t>
            </w:r>
            <w:r>
              <w:rPr>
                <w:rFonts w:ascii="宋体" w:hAnsi="宋体" w:cs="宋体"/>
                <w:color w:val="000000"/>
                <w:kern w:val="0"/>
                <w:sz w:val="20"/>
                <w:szCs w:val="20"/>
              </w:rPr>
              <w:t>值</w:t>
            </w:r>
          </w:p>
        </w:tc>
        <w:tc>
          <w:tcPr>
            <w:tcW w:w="311" w:type="pct"/>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w:t>
            </w:r>
            <w:r>
              <w:rPr>
                <w:rFonts w:ascii="宋体" w:hAnsi="宋体" w:cs="宋体"/>
                <w:color w:val="000000"/>
                <w:kern w:val="0"/>
                <w:sz w:val="20"/>
                <w:szCs w:val="20"/>
              </w:rPr>
              <w:t>值</w:t>
            </w:r>
          </w:p>
        </w:tc>
        <w:tc>
          <w:tcPr>
            <w:tcW w:w="317" w:type="pct"/>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w:t>
            </w:r>
            <w:r>
              <w:rPr>
                <w:rFonts w:ascii="宋体" w:hAnsi="宋体" w:cs="宋体"/>
                <w:color w:val="000000"/>
                <w:kern w:val="0"/>
                <w:sz w:val="20"/>
                <w:szCs w:val="20"/>
              </w:rPr>
              <w:t>分</w:t>
            </w:r>
          </w:p>
        </w:tc>
        <w:tc>
          <w:tcPr>
            <w:tcW w:w="1268" w:type="pct"/>
            <w:vAlign w:val="center"/>
          </w:tcPr>
          <w:p>
            <w:pPr>
              <w:widowControl/>
              <w:jc w:val="center"/>
              <w:rPr>
                <w:rFonts w:ascii="宋体" w:hAnsi="宋体" w:cs="宋体"/>
                <w:b/>
                <w:bCs/>
                <w:color w:val="000000"/>
                <w:kern w:val="0"/>
                <w:sz w:val="18"/>
                <w:szCs w:val="18"/>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245" w:type="pct"/>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0" w:hRule="atLeast"/>
        </w:trPr>
        <w:tc>
          <w:tcPr>
            <w:tcW w:w="407" w:type="pct"/>
            <w:vMerge w:val="restar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预算管理情况（20）</w:t>
            </w:r>
          </w:p>
        </w:tc>
        <w:tc>
          <w:tcPr>
            <w:tcW w:w="411" w:type="pct"/>
            <w:vMerge w:val="restar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财务管理（4）</w:t>
            </w: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财务管理制度健全性</w:t>
            </w: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财务管理制度健全，执行有效　</w:t>
            </w:r>
          </w:p>
        </w:tc>
        <w:tc>
          <w:tcPr>
            <w:tcW w:w="323"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财务管理制度健全，执行有效</w:t>
            </w:r>
          </w:p>
        </w:tc>
        <w:tc>
          <w:tcPr>
            <w:tcW w:w="311" w:type="pct"/>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317" w:type="pct"/>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268" w:type="pct"/>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财务管理制度健全性：</w:t>
            </w:r>
            <w:r>
              <w:rPr>
                <w:rFonts w:hint="eastAsia" w:ascii="宋体" w:hAnsi="宋体" w:cs="宋体"/>
                <w:color w:val="000000"/>
                <w:kern w:val="0"/>
                <w:sz w:val="18"/>
                <w:szCs w:val="18"/>
              </w:rPr>
              <w:t>部门（单位）为加强财务管理、规范财务行为而制定的管理制度。</w:t>
            </w:r>
          </w:p>
        </w:tc>
        <w:tc>
          <w:tcPr>
            <w:tcW w:w="1245"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0" w:hRule="atLeast"/>
        </w:trPr>
        <w:tc>
          <w:tcPr>
            <w:tcW w:w="407" w:type="pct"/>
            <w:vMerge w:val="continue"/>
            <w:vAlign w:val="center"/>
          </w:tcPr>
          <w:p>
            <w:pPr>
              <w:widowControl/>
              <w:jc w:val="left"/>
              <w:rPr>
                <w:rFonts w:ascii="宋体" w:hAnsi="宋体" w:cs="宋体"/>
                <w:color w:val="000000"/>
                <w:kern w:val="0"/>
                <w:sz w:val="20"/>
                <w:szCs w:val="20"/>
              </w:rPr>
            </w:pPr>
          </w:p>
        </w:tc>
        <w:tc>
          <w:tcPr>
            <w:tcW w:w="411" w:type="pct"/>
            <w:vMerge w:val="continue"/>
            <w:vAlign w:val="center"/>
          </w:tcPr>
          <w:p>
            <w:pPr>
              <w:widowControl/>
              <w:jc w:val="left"/>
              <w:rPr>
                <w:rFonts w:ascii="宋体" w:hAnsi="宋体" w:cs="宋体"/>
                <w:color w:val="000000"/>
                <w:kern w:val="0"/>
                <w:sz w:val="20"/>
                <w:szCs w:val="20"/>
              </w:rPr>
            </w:pP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资金使用合规性和安全性</w:t>
            </w: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合规</w:t>
            </w:r>
          </w:p>
        </w:tc>
        <w:tc>
          <w:tcPr>
            <w:tcW w:w="323"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合规</w:t>
            </w:r>
          </w:p>
        </w:tc>
        <w:tc>
          <w:tcPr>
            <w:tcW w:w="311" w:type="pct"/>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317" w:type="pct"/>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　</w:t>
            </w:r>
          </w:p>
        </w:tc>
        <w:tc>
          <w:tcPr>
            <w:tcW w:w="1268" w:type="pct"/>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资金使用合规性和安全性：</w:t>
            </w:r>
            <w:r>
              <w:rPr>
                <w:rFonts w:hint="eastAsia" w:ascii="宋体" w:hAnsi="宋体" w:cs="宋体"/>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245"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407" w:type="pct"/>
            <w:vMerge w:val="continue"/>
            <w:vAlign w:val="center"/>
          </w:tcPr>
          <w:p>
            <w:pPr>
              <w:widowControl/>
              <w:jc w:val="left"/>
              <w:rPr>
                <w:rFonts w:ascii="宋体" w:hAnsi="宋体" w:cs="宋体"/>
                <w:color w:val="000000"/>
                <w:kern w:val="0"/>
                <w:sz w:val="20"/>
                <w:szCs w:val="20"/>
              </w:rPr>
            </w:pPr>
          </w:p>
        </w:tc>
        <w:tc>
          <w:tcPr>
            <w:tcW w:w="411" w:type="pct"/>
            <w:vMerge w:val="continue"/>
            <w:vAlign w:val="center"/>
          </w:tcPr>
          <w:p>
            <w:pPr>
              <w:widowControl/>
              <w:jc w:val="left"/>
              <w:rPr>
                <w:rFonts w:ascii="宋体" w:hAnsi="宋体" w:cs="宋体"/>
                <w:color w:val="000000"/>
                <w:kern w:val="0"/>
                <w:sz w:val="20"/>
                <w:szCs w:val="20"/>
              </w:rPr>
            </w:pP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会计基础信息完善性</w:t>
            </w: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完善　</w:t>
            </w:r>
          </w:p>
        </w:tc>
        <w:tc>
          <w:tcPr>
            <w:tcW w:w="323"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完善　</w:t>
            </w:r>
          </w:p>
        </w:tc>
        <w:tc>
          <w:tcPr>
            <w:tcW w:w="311" w:type="pct"/>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317" w:type="pct"/>
            <w:noWrap/>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268" w:type="pct"/>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会计基础信息完善性：</w:t>
            </w:r>
            <w:r>
              <w:rPr>
                <w:rFonts w:hint="eastAsia" w:ascii="宋体" w:hAnsi="宋体" w:cs="宋体"/>
                <w:color w:val="000000"/>
                <w:kern w:val="0"/>
                <w:sz w:val="18"/>
                <w:szCs w:val="18"/>
              </w:rPr>
              <w:t>部门（单位）会计基础信息情况。</w:t>
            </w:r>
          </w:p>
        </w:tc>
        <w:tc>
          <w:tcPr>
            <w:tcW w:w="1245"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0" w:hRule="atLeast"/>
        </w:trPr>
        <w:tc>
          <w:tcPr>
            <w:tcW w:w="407" w:type="pct"/>
            <w:vMerge w:val="continue"/>
            <w:vAlign w:val="center"/>
          </w:tcPr>
          <w:p>
            <w:pPr>
              <w:widowControl/>
              <w:jc w:val="left"/>
              <w:rPr>
                <w:rFonts w:ascii="宋体" w:hAnsi="宋体" w:cs="宋体"/>
                <w:color w:val="000000"/>
                <w:kern w:val="0"/>
                <w:sz w:val="20"/>
                <w:szCs w:val="20"/>
              </w:rPr>
            </w:pPr>
          </w:p>
        </w:tc>
        <w:tc>
          <w:tcPr>
            <w:tcW w:w="411"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资产管理（4）</w:t>
            </w: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资产管理规范性</w:t>
            </w:r>
          </w:p>
        </w:tc>
        <w:tc>
          <w:tcPr>
            <w:tcW w:w="359" w:type="pct"/>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严格按照资产管理制度规定执行</w:t>
            </w:r>
          </w:p>
        </w:tc>
        <w:tc>
          <w:tcPr>
            <w:tcW w:w="323" w:type="pct"/>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严格按照资产管理制度规定执行</w:t>
            </w:r>
          </w:p>
        </w:tc>
        <w:tc>
          <w:tcPr>
            <w:tcW w:w="311"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317"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268" w:type="pct"/>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资产管理规范性：</w:t>
            </w:r>
            <w:r>
              <w:rPr>
                <w:rFonts w:hint="eastAsia" w:ascii="宋体" w:hAnsi="宋体" w:cs="宋体"/>
                <w:color w:val="000000"/>
                <w:kern w:val="0"/>
                <w:sz w:val="18"/>
                <w:szCs w:val="18"/>
              </w:rPr>
              <w:t>部门（单位）的资产是否保持安全完整，资产配置是否合理，资产使用和资产处理是否规范，用以反映和考核部门（单位）资产管理的整体水平。</w:t>
            </w:r>
          </w:p>
        </w:tc>
        <w:tc>
          <w:tcPr>
            <w:tcW w:w="1245"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他资产管理制度办法执行情况。每有一项不合格扣0.8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10" w:hRule="atLeast"/>
        </w:trPr>
        <w:tc>
          <w:tcPr>
            <w:tcW w:w="407" w:type="pct"/>
            <w:vMerge w:val="continue"/>
            <w:vAlign w:val="center"/>
          </w:tcPr>
          <w:p>
            <w:pPr>
              <w:widowControl/>
              <w:jc w:val="left"/>
              <w:rPr>
                <w:rFonts w:ascii="宋体" w:hAnsi="宋体" w:cs="宋体"/>
                <w:color w:val="000000"/>
                <w:kern w:val="0"/>
                <w:sz w:val="20"/>
                <w:szCs w:val="20"/>
              </w:rPr>
            </w:pPr>
          </w:p>
        </w:tc>
        <w:tc>
          <w:tcPr>
            <w:tcW w:w="411"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绩效管理（4）</w:t>
            </w:r>
          </w:p>
        </w:tc>
        <w:tc>
          <w:tcPr>
            <w:tcW w:w="359"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绩效管理情况</w:t>
            </w:r>
          </w:p>
        </w:tc>
        <w:tc>
          <w:tcPr>
            <w:tcW w:w="359" w:type="pct"/>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全年按时完成绩效监控及绩效评价工作</w:t>
            </w:r>
          </w:p>
        </w:tc>
        <w:tc>
          <w:tcPr>
            <w:tcW w:w="323" w:type="pct"/>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全年基本按时完成绩效监控及绩效评价工作</w:t>
            </w:r>
          </w:p>
        </w:tc>
        <w:tc>
          <w:tcPr>
            <w:tcW w:w="311"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317"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　</w:t>
            </w:r>
          </w:p>
        </w:tc>
        <w:tc>
          <w:tcPr>
            <w:tcW w:w="1268" w:type="pct"/>
            <w:vAlign w:val="center"/>
          </w:tcPr>
          <w:p>
            <w:pPr>
              <w:widowControl/>
              <w:jc w:val="left"/>
              <w:rPr>
                <w:rFonts w:ascii="宋体" w:hAnsi="宋体" w:cs="宋体"/>
                <w:color w:val="000000"/>
                <w:kern w:val="0"/>
                <w:sz w:val="18"/>
                <w:szCs w:val="18"/>
              </w:rPr>
            </w:pPr>
            <w:r>
              <w:rPr>
                <w:rFonts w:hint="eastAsia" w:ascii="宋体" w:hAnsi="宋体" w:cs="宋体"/>
                <w:b/>
                <w:bCs/>
                <w:color w:val="000000"/>
                <w:kern w:val="0"/>
                <w:sz w:val="18"/>
                <w:szCs w:val="18"/>
              </w:rPr>
              <w:t>绩效管理情况：</w:t>
            </w:r>
            <w:r>
              <w:rPr>
                <w:rFonts w:hint="eastAsia" w:ascii="宋体" w:hAnsi="宋体" w:cs="宋体"/>
                <w:color w:val="000000"/>
                <w:kern w:val="0"/>
                <w:sz w:val="18"/>
                <w:szCs w:val="18"/>
              </w:rPr>
              <w:t>考核部门（单位）在绩效管理信息的汇总和应用情况。</w:t>
            </w:r>
          </w:p>
        </w:tc>
        <w:tc>
          <w:tcPr>
            <w:tcW w:w="1245"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 w:hRule="atLeast"/>
        </w:trPr>
        <w:tc>
          <w:tcPr>
            <w:tcW w:w="407" w:type="pct"/>
            <w:vMerge w:val="continue"/>
            <w:vAlign w:val="center"/>
          </w:tcPr>
          <w:p>
            <w:pPr>
              <w:widowControl/>
              <w:jc w:val="left"/>
              <w:rPr>
                <w:rFonts w:ascii="宋体" w:hAnsi="宋体" w:cs="宋体"/>
                <w:color w:val="000000"/>
                <w:kern w:val="0"/>
                <w:sz w:val="20"/>
                <w:szCs w:val="20"/>
              </w:rPr>
            </w:pPr>
          </w:p>
        </w:tc>
        <w:tc>
          <w:tcPr>
            <w:tcW w:w="411"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指标　</w:t>
            </w:r>
          </w:p>
        </w:tc>
        <w:tc>
          <w:tcPr>
            <w:tcW w:w="718" w:type="pct"/>
            <w:gridSpan w:val="2"/>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2022年</w:t>
            </w:r>
          </w:p>
        </w:tc>
        <w:tc>
          <w:tcPr>
            <w:tcW w:w="323"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2023年</w:t>
            </w:r>
          </w:p>
        </w:tc>
        <w:tc>
          <w:tcPr>
            <w:tcW w:w="311"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分值</w:t>
            </w:r>
          </w:p>
        </w:tc>
        <w:tc>
          <w:tcPr>
            <w:tcW w:w="317"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得分</w:t>
            </w:r>
          </w:p>
        </w:tc>
        <w:tc>
          <w:tcPr>
            <w:tcW w:w="1268" w:type="pct"/>
            <w:vAlign w:val="center"/>
          </w:tcPr>
          <w:p>
            <w:pPr>
              <w:widowControl/>
              <w:jc w:val="center"/>
              <w:rPr>
                <w:rFonts w:ascii="宋体" w:hAnsi="宋体" w:cs="宋体"/>
                <w:color w:val="000000"/>
                <w:kern w:val="0"/>
                <w:sz w:val="20"/>
                <w:szCs w:val="20"/>
              </w:rPr>
            </w:pPr>
            <w:r>
              <w:rPr>
                <w:rFonts w:hint="eastAsia" w:ascii="宋体" w:hAnsi="宋体" w:cs="宋体"/>
                <w:bCs/>
                <w:color w:val="000000"/>
                <w:kern w:val="0"/>
                <w:sz w:val="18"/>
                <w:szCs w:val="18"/>
              </w:rPr>
              <w:t>指标</w:t>
            </w:r>
            <w:r>
              <w:rPr>
                <w:rFonts w:ascii="宋体" w:hAnsi="宋体" w:cs="宋体"/>
                <w:bCs/>
                <w:color w:val="000000"/>
                <w:kern w:val="0"/>
                <w:sz w:val="18"/>
                <w:szCs w:val="18"/>
              </w:rPr>
              <w:t>解释</w:t>
            </w:r>
          </w:p>
        </w:tc>
        <w:tc>
          <w:tcPr>
            <w:tcW w:w="1245" w:type="pct"/>
            <w:vAlign w:val="center"/>
          </w:tcPr>
          <w:p>
            <w:pPr>
              <w:widowControl/>
              <w:jc w:val="center"/>
              <w:rPr>
                <w:rFonts w:eastAsia="Times New Roman"/>
                <w:kern w:val="0"/>
                <w:sz w:val="20"/>
                <w:szCs w:val="20"/>
              </w:rPr>
            </w:pPr>
            <w:r>
              <w:rPr>
                <w:rFonts w:hint="eastAsia" w:ascii="宋体" w:hAnsi="宋体" w:cs="宋体"/>
                <w:color w:val="000000"/>
                <w:kern w:val="0"/>
                <w:sz w:val="18"/>
                <w:szCs w:val="18"/>
              </w:rPr>
              <w:t>评</w:t>
            </w:r>
            <w:r>
              <w:rPr>
                <w:rFonts w:ascii="宋体" w:hAnsi="宋体" w:cs="宋体"/>
                <w:color w:val="000000"/>
                <w:kern w:val="0"/>
                <w:sz w:val="18"/>
                <w:szCs w:val="18"/>
              </w:rPr>
              <w:t>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9" w:hRule="atLeast"/>
        </w:trPr>
        <w:tc>
          <w:tcPr>
            <w:tcW w:w="407" w:type="pct"/>
            <w:vMerge w:val="continue"/>
            <w:vAlign w:val="center"/>
          </w:tcPr>
          <w:p>
            <w:pPr>
              <w:widowControl/>
              <w:jc w:val="left"/>
              <w:rPr>
                <w:rFonts w:ascii="宋体" w:hAnsi="宋体" w:cs="宋体"/>
                <w:color w:val="000000"/>
                <w:kern w:val="0"/>
                <w:sz w:val="20"/>
                <w:szCs w:val="20"/>
              </w:rPr>
            </w:pPr>
          </w:p>
        </w:tc>
        <w:tc>
          <w:tcPr>
            <w:tcW w:w="411" w:type="pct"/>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结转结余率（4）</w:t>
            </w:r>
          </w:p>
        </w:tc>
        <w:tc>
          <w:tcPr>
            <w:tcW w:w="718" w:type="pct"/>
            <w:gridSpan w:val="2"/>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9.24%</w:t>
            </w:r>
          </w:p>
        </w:tc>
        <w:tc>
          <w:tcPr>
            <w:tcW w:w="323" w:type="pct"/>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14.64%</w:t>
            </w:r>
            <w:r>
              <w:rPr>
                <w:rFonts w:hint="eastAsia" w:ascii="宋体" w:hAnsi="宋体" w:cs="宋体"/>
                <w:color w:val="000000"/>
                <w:kern w:val="0"/>
                <w:sz w:val="20"/>
                <w:szCs w:val="20"/>
              </w:rPr>
              <w:t>　</w:t>
            </w:r>
          </w:p>
        </w:tc>
        <w:tc>
          <w:tcPr>
            <w:tcW w:w="311"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317"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268"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结转结余率=结转结余总额/支出预算数×100%。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结转结余总额：部门（单位）本年度的结转资金与结余资金之和。</w:t>
            </w:r>
          </w:p>
        </w:tc>
        <w:tc>
          <w:tcPr>
            <w:tcW w:w="1245"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1" w:hRule="atLeast"/>
        </w:trPr>
        <w:tc>
          <w:tcPr>
            <w:tcW w:w="407" w:type="pct"/>
            <w:vMerge w:val="continue"/>
            <w:vAlign w:val="center"/>
          </w:tcPr>
          <w:p>
            <w:pPr>
              <w:widowControl/>
              <w:jc w:val="left"/>
              <w:rPr>
                <w:rFonts w:ascii="宋体" w:hAnsi="宋体" w:cs="宋体"/>
                <w:color w:val="000000"/>
                <w:kern w:val="0"/>
                <w:sz w:val="20"/>
                <w:szCs w:val="20"/>
              </w:rPr>
            </w:pPr>
          </w:p>
        </w:tc>
        <w:tc>
          <w:tcPr>
            <w:tcW w:w="411" w:type="pct"/>
            <w:vAlign w:val="center"/>
          </w:tcPr>
          <w:p>
            <w:pPr>
              <w:widowControl/>
              <w:rPr>
                <w:rFonts w:ascii="宋体" w:hAnsi="宋体" w:cs="宋体"/>
                <w:color w:val="000000"/>
                <w:kern w:val="0"/>
                <w:sz w:val="20"/>
                <w:szCs w:val="20"/>
              </w:rPr>
            </w:pPr>
            <w:r>
              <w:rPr>
                <w:rFonts w:hint="eastAsia" w:ascii="宋体" w:hAnsi="宋体" w:cs="宋体"/>
                <w:color w:val="000000"/>
                <w:kern w:val="0"/>
                <w:sz w:val="20"/>
                <w:szCs w:val="20"/>
              </w:rPr>
              <w:t>部门预决算差异率（4）</w:t>
            </w:r>
          </w:p>
        </w:tc>
        <w:tc>
          <w:tcPr>
            <w:tcW w:w="718" w:type="pct"/>
            <w:gridSpan w:val="2"/>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w:t>
            </w:r>
          </w:p>
        </w:tc>
        <w:tc>
          <w:tcPr>
            <w:tcW w:w="323" w:type="pct"/>
            <w:vAlign w:val="center"/>
          </w:tcPr>
          <w:p>
            <w:pPr>
              <w:widowControl/>
              <w:jc w:val="center"/>
              <w:rPr>
                <w:rFonts w:ascii="宋体" w:hAnsi="宋体" w:cs="宋体"/>
                <w:color w:val="000000"/>
                <w:kern w:val="0"/>
                <w:sz w:val="20"/>
                <w:szCs w:val="20"/>
              </w:rPr>
            </w:pPr>
            <w:r>
              <w:rPr>
                <w:rFonts w:ascii="宋体" w:hAnsi="宋体" w:cs="宋体"/>
                <w:color w:val="000000"/>
                <w:kern w:val="0"/>
                <w:sz w:val="20"/>
                <w:szCs w:val="20"/>
              </w:rPr>
              <w:t>-6.96%</w:t>
            </w:r>
          </w:p>
        </w:tc>
        <w:tc>
          <w:tcPr>
            <w:tcW w:w="311"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317"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4　</w:t>
            </w:r>
          </w:p>
        </w:tc>
        <w:tc>
          <w:tcPr>
            <w:tcW w:w="1268"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1245" w:type="pct"/>
            <w:vAlign w:val="center"/>
          </w:tcPr>
          <w:p>
            <w:pPr>
              <w:widowControl/>
              <w:jc w:val="left"/>
              <w:rPr>
                <w:rFonts w:ascii="宋体" w:hAnsi="宋体" w:cs="宋体"/>
                <w:color w:val="000000"/>
                <w:kern w:val="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4" w:hRule="atLeast"/>
        </w:trPr>
        <w:tc>
          <w:tcPr>
            <w:tcW w:w="1859" w:type="pct"/>
            <w:gridSpan w:val="5"/>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311"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317" w:type="pct"/>
            <w:vAlign w:val="center"/>
          </w:tcPr>
          <w:p>
            <w:pPr>
              <w:widowControl/>
              <w:jc w:val="center"/>
              <w:rPr>
                <w:rFonts w:ascii="宋体" w:hAnsi="宋体" w:cs="宋体"/>
                <w:color w:val="000000"/>
                <w:kern w:val="0"/>
                <w:sz w:val="20"/>
                <w:szCs w:val="20"/>
              </w:rPr>
            </w:pPr>
            <w:r>
              <w:rPr>
                <w:rFonts w:hint="eastAsia" w:ascii="宋体" w:hAnsi="宋体" w:cs="宋体"/>
                <w:color w:val="000000"/>
                <w:kern w:val="0"/>
                <w:sz w:val="20"/>
                <w:szCs w:val="20"/>
              </w:rPr>
              <w:t>91.59</w:t>
            </w:r>
          </w:p>
        </w:tc>
        <w:tc>
          <w:tcPr>
            <w:tcW w:w="2513" w:type="pct"/>
            <w:gridSpan w:val="2"/>
            <w:vAlign w:val="center"/>
          </w:tcPr>
          <w:p>
            <w:pPr>
              <w:widowControl/>
              <w:jc w:val="center"/>
              <w:rPr>
                <w:rFonts w:ascii="宋体" w:hAnsi="宋体" w:cs="宋体"/>
                <w:color w:val="000000"/>
                <w:kern w:val="0"/>
                <w:sz w:val="18"/>
                <w:szCs w:val="18"/>
              </w:rPr>
            </w:pPr>
            <w:r>
              <w:rPr>
                <w:rFonts w:hint="eastAsia" w:ascii="宋体" w:hAnsi="宋体" w:cs="宋体"/>
                <w:color w:val="000000"/>
                <w:kern w:val="0"/>
                <w:sz w:val="18"/>
                <w:szCs w:val="18"/>
              </w:rPr>
              <w:t>　</w:t>
            </w:r>
          </w:p>
        </w:tc>
      </w:tr>
    </w:tbl>
    <w:p>
      <w:pPr>
        <w:spacing w:line="20" w:lineRule="exact"/>
        <w:rPr>
          <w:rFonts w:ascii="方正小标宋简体" w:eastAsia="方正小标宋简体"/>
          <w:sz w:val="36"/>
          <w:szCs w:val="36"/>
        </w:rPr>
      </w:pPr>
    </w:p>
    <w:sectPr>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73701291"/>
      <w:docPartObj>
        <w:docPartGallery w:val="autotext"/>
      </w:docPartObj>
    </w:sdtPr>
    <w:sdtContent>
      <w:p>
        <w:pPr>
          <w:pStyle w:val="9"/>
          <w:jc w:val="center"/>
        </w:pPr>
        <w:r>
          <w:fldChar w:fldCharType="begin"/>
        </w:r>
        <w:r>
          <w:instrText xml:space="preserve">PAGE   \* MERGEFORMAT</w:instrText>
        </w:r>
        <w:r>
          <w:fldChar w:fldCharType="separate"/>
        </w:r>
        <w:r>
          <w:rPr>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41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B44288"/>
    <w:multiLevelType w:val="singleLevel"/>
    <w:tmpl w:val="6BB4428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xMTVkZjBhODYzZGRmMDE4ZjMwNmQyNzVjNWE4NWYifQ=="/>
  </w:docVars>
  <w:rsids>
    <w:rsidRoot w:val="F77F09F4"/>
    <w:rsid w:val="000A2F11"/>
    <w:rsid w:val="00131C8D"/>
    <w:rsid w:val="001B3A47"/>
    <w:rsid w:val="00217964"/>
    <w:rsid w:val="00324B75"/>
    <w:rsid w:val="00333757"/>
    <w:rsid w:val="003A2A0B"/>
    <w:rsid w:val="00493C67"/>
    <w:rsid w:val="004A73FF"/>
    <w:rsid w:val="004E7AC4"/>
    <w:rsid w:val="0055743C"/>
    <w:rsid w:val="005E683A"/>
    <w:rsid w:val="005E6A05"/>
    <w:rsid w:val="00736070"/>
    <w:rsid w:val="0077568D"/>
    <w:rsid w:val="00807FC9"/>
    <w:rsid w:val="008755EC"/>
    <w:rsid w:val="009F6604"/>
    <w:rsid w:val="00B4269F"/>
    <w:rsid w:val="00B81C23"/>
    <w:rsid w:val="00BF2A18"/>
    <w:rsid w:val="00D63D1E"/>
    <w:rsid w:val="00DA13D1"/>
    <w:rsid w:val="00DA6FD8"/>
    <w:rsid w:val="00E063E5"/>
    <w:rsid w:val="00F11EB6"/>
    <w:rsid w:val="00F1374C"/>
    <w:rsid w:val="00F13A90"/>
    <w:rsid w:val="00F36BAC"/>
    <w:rsid w:val="00F86D51"/>
    <w:rsid w:val="02477318"/>
    <w:rsid w:val="06E71703"/>
    <w:rsid w:val="0DE773DB"/>
    <w:rsid w:val="0E741495"/>
    <w:rsid w:val="0F5F244A"/>
    <w:rsid w:val="14552AD6"/>
    <w:rsid w:val="14C8217B"/>
    <w:rsid w:val="175F53D8"/>
    <w:rsid w:val="1888270D"/>
    <w:rsid w:val="1D4330A6"/>
    <w:rsid w:val="207A2018"/>
    <w:rsid w:val="22471D5D"/>
    <w:rsid w:val="252C2672"/>
    <w:rsid w:val="25D40775"/>
    <w:rsid w:val="289A78F2"/>
    <w:rsid w:val="294D6862"/>
    <w:rsid w:val="35077675"/>
    <w:rsid w:val="37173543"/>
    <w:rsid w:val="38C75A58"/>
    <w:rsid w:val="3A557B1D"/>
    <w:rsid w:val="3AE6792C"/>
    <w:rsid w:val="3CE358B4"/>
    <w:rsid w:val="3FDBA076"/>
    <w:rsid w:val="3FDFB3F0"/>
    <w:rsid w:val="3FDFC9A6"/>
    <w:rsid w:val="3FF76880"/>
    <w:rsid w:val="42FD139D"/>
    <w:rsid w:val="47D170F4"/>
    <w:rsid w:val="47E4440C"/>
    <w:rsid w:val="4BF16030"/>
    <w:rsid w:val="4E5403C0"/>
    <w:rsid w:val="51954F77"/>
    <w:rsid w:val="52833022"/>
    <w:rsid w:val="540B2942"/>
    <w:rsid w:val="56C67981"/>
    <w:rsid w:val="586C58ED"/>
    <w:rsid w:val="5BFD4AC2"/>
    <w:rsid w:val="5E3B2CA2"/>
    <w:rsid w:val="5FCF3D4A"/>
    <w:rsid w:val="65ED78F4"/>
    <w:rsid w:val="66756CCD"/>
    <w:rsid w:val="67759716"/>
    <w:rsid w:val="69F957DD"/>
    <w:rsid w:val="6D665815"/>
    <w:rsid w:val="6F7ED27B"/>
    <w:rsid w:val="71461992"/>
    <w:rsid w:val="75B17A7C"/>
    <w:rsid w:val="795E122D"/>
    <w:rsid w:val="7AB7FF50"/>
    <w:rsid w:val="7AEAF641"/>
    <w:rsid w:val="7BAD2729"/>
    <w:rsid w:val="7BFEB0DB"/>
    <w:rsid w:val="7C3E1BE4"/>
    <w:rsid w:val="7EA877E8"/>
    <w:rsid w:val="7FFF4E81"/>
    <w:rsid w:val="7FFFD0D3"/>
    <w:rsid w:val="8716660E"/>
    <w:rsid w:val="A3AA735E"/>
    <w:rsid w:val="A75D4892"/>
    <w:rsid w:val="AFFFCE02"/>
    <w:rsid w:val="CEFD3F3D"/>
    <w:rsid w:val="D6B22E60"/>
    <w:rsid w:val="EA3F77F2"/>
    <w:rsid w:val="EEFE5989"/>
    <w:rsid w:val="EFCF3EAE"/>
    <w:rsid w:val="F4FDEB06"/>
    <w:rsid w:val="F5B764A2"/>
    <w:rsid w:val="F77F09F4"/>
    <w:rsid w:val="FBFF6E65"/>
    <w:rsid w:val="FEEF6AA0"/>
    <w:rsid w:val="FFB792B8"/>
    <w:rsid w:val="FFD7BFFC"/>
    <w:rsid w:val="FFFA6B0F"/>
    <w:rsid w:val="FFFFB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5">
    <w:name w:val="heading 3"/>
    <w:basedOn w:val="1"/>
    <w:next w:val="1"/>
    <w:qFormat/>
    <w:uiPriority w:val="0"/>
    <w:pPr>
      <w:keepNext/>
      <w:keepLines/>
      <w:spacing w:before="260" w:after="260" w:line="416" w:lineRule="atLeast"/>
      <w:outlineLvl w:val="2"/>
    </w:pPr>
    <w:rPr>
      <w:b/>
      <w:bCs/>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6">
    <w:name w:val="Body Text"/>
    <w:basedOn w:val="1"/>
    <w:next w:val="7"/>
    <w:unhideWhenUsed/>
    <w:qFormat/>
    <w:uiPriority w:val="0"/>
    <w:pPr>
      <w:spacing w:line="360" w:lineRule="auto"/>
    </w:pPr>
    <w:rPr>
      <w:rFonts w:ascii="Calibri" w:hAnsi="Calibri"/>
      <w:sz w:val="24"/>
    </w:rPr>
  </w:style>
  <w:style w:type="paragraph" w:customStyle="1" w:styleId="7">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8">
    <w:name w:val="Body Text Indent 2"/>
    <w:basedOn w:val="1"/>
    <w:unhideWhenUsed/>
    <w:qFormat/>
    <w:uiPriority w:val="99"/>
    <w:pPr>
      <w:spacing w:after="120" w:line="480" w:lineRule="auto"/>
      <w:ind w:left="420" w:leftChars="200"/>
    </w:pPr>
    <w:rPr>
      <w:rFonts w:ascii="Calibri" w:hAnsi="Calibri"/>
      <w:szCs w:val="22"/>
    </w:rPr>
  </w:style>
  <w:style w:type="paragraph" w:styleId="9">
    <w:name w:val="footer"/>
    <w:basedOn w:val="1"/>
    <w:link w:val="17"/>
    <w:qFormat/>
    <w:uiPriority w:val="99"/>
    <w:pPr>
      <w:tabs>
        <w:tab w:val="center" w:pos="4153"/>
        <w:tab w:val="right" w:pos="8306"/>
      </w:tabs>
      <w:snapToGrid w:val="0"/>
      <w:jc w:val="left"/>
    </w:pPr>
    <w:rPr>
      <w:sz w:val="18"/>
      <w:szCs w:val="20"/>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Normal (Web)"/>
    <w:basedOn w:val="1"/>
    <w:qFormat/>
    <w:uiPriority w:val="0"/>
    <w:pPr>
      <w:spacing w:beforeAutospacing="1" w:afterAutospacing="1"/>
      <w:jc w:val="left"/>
    </w:pPr>
    <w:rPr>
      <w:kern w:val="0"/>
      <w:sz w:val="24"/>
    </w:rPr>
  </w:style>
  <w:style w:type="character" w:styleId="14">
    <w:name w:val="Strong"/>
    <w:basedOn w:val="13"/>
    <w:qFormat/>
    <w:uiPriority w:val="0"/>
    <w:rPr>
      <w:b/>
    </w:rPr>
  </w:style>
  <w:style w:type="paragraph" w:customStyle="1" w:styleId="15">
    <w:name w:val="列出段落1"/>
    <w:basedOn w:val="1"/>
    <w:qFormat/>
    <w:uiPriority w:val="34"/>
    <w:pPr>
      <w:ind w:firstLine="420" w:firstLineChars="200"/>
    </w:pPr>
    <w:rPr>
      <w:rFonts w:ascii="Calibri" w:hAnsi="Calibri" w:cs="黑体"/>
      <w:szCs w:val="22"/>
    </w:rPr>
  </w:style>
  <w:style w:type="paragraph" w:styleId="16">
    <w:name w:val="List Paragraph"/>
    <w:basedOn w:val="1"/>
    <w:qFormat/>
    <w:uiPriority w:val="34"/>
    <w:pPr>
      <w:ind w:firstLine="420" w:firstLineChars="200"/>
    </w:pPr>
    <w:rPr>
      <w:rFonts w:ascii="Calibri" w:hAnsi="Calibri"/>
      <w:szCs w:val="22"/>
    </w:rPr>
  </w:style>
  <w:style w:type="character" w:customStyle="1" w:styleId="17">
    <w:name w:val="页脚 字符"/>
    <w:basedOn w:val="13"/>
    <w:link w:val="9"/>
    <w:qFormat/>
    <w:uiPriority w:val="99"/>
    <w:rPr>
      <w:kern w:val="2"/>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1720</Words>
  <Characters>9808</Characters>
  <Lines>81</Lines>
  <Paragraphs>23</Paragraphs>
  <TotalTime>36</TotalTime>
  <ScaleCrop>false</ScaleCrop>
  <LinksUpToDate>false</LinksUpToDate>
  <CharactersWithSpaces>11505</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2022-03-14T19:16:00Z</dcterms:created>
  <dc:creator>user</dc:creator>
  <cp:lastModifiedBy>袁广杰</cp:lastModifiedBy>
  <cp:lastPrinted>2023-03-06T01:31:00Z</cp:lastPrinted>
  <dcterms:modified xsi:type="dcterms:W3CDTF">2024-08-22T02:06:16Z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E2E94823E6D5486FADEC69E4D7CC51F8_12</vt:lpwstr>
  </property>
</Properties>
</file>