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9389" w:type="dxa"/>
        <w:jc w:val="center"/>
        <w:tblLayout w:type="fixed"/>
        <w:tblCellMar>
          <w:top w:w="0" w:type="dxa"/>
          <w:left w:w="108" w:type="dxa"/>
          <w:bottom w:w="0" w:type="dxa"/>
          <w:right w:w="108" w:type="dxa"/>
        </w:tblCellMar>
      </w:tblPr>
      <w:tblGrid>
        <w:gridCol w:w="585"/>
        <w:gridCol w:w="790"/>
        <w:gridCol w:w="1290"/>
        <w:gridCol w:w="727"/>
        <w:gridCol w:w="1127"/>
        <w:gridCol w:w="283"/>
        <w:gridCol w:w="814"/>
        <w:gridCol w:w="1143"/>
        <w:gridCol w:w="166"/>
        <w:gridCol w:w="412"/>
        <w:gridCol w:w="145"/>
        <w:gridCol w:w="559"/>
        <w:gridCol w:w="287"/>
        <w:gridCol w:w="1061"/>
      </w:tblGrid>
      <w:tr>
        <w:tblPrEx>
          <w:tblCellMar>
            <w:top w:w="0" w:type="dxa"/>
            <w:left w:w="108" w:type="dxa"/>
            <w:bottom w:w="0" w:type="dxa"/>
            <w:right w:w="108" w:type="dxa"/>
          </w:tblCellMar>
        </w:tblPrEx>
        <w:trPr>
          <w:trHeight w:val="457" w:hRule="exact"/>
          <w:jc w:val="center"/>
        </w:trPr>
        <w:tc>
          <w:tcPr>
            <w:tcW w:w="13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8014"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涉外（港澳台）知识产权交流与合作专项</w:t>
            </w:r>
          </w:p>
        </w:tc>
      </w:tr>
      <w:tr>
        <w:tblPrEx>
          <w:tblCellMar>
            <w:top w:w="0" w:type="dxa"/>
            <w:left w:w="108" w:type="dxa"/>
            <w:bottom w:w="0" w:type="dxa"/>
            <w:right w:w="108" w:type="dxa"/>
          </w:tblCellMar>
        </w:tblPrEx>
        <w:trPr>
          <w:trHeight w:val="566" w:hRule="exact"/>
          <w:jc w:val="center"/>
        </w:trPr>
        <w:tc>
          <w:tcPr>
            <w:tcW w:w="13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24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14:textFill>
                  <w14:solidFill>
                    <w14:schemeClr w14:val="tx1"/>
                  </w14:solidFill>
                </w14:textFill>
              </w:rPr>
              <w:t>北京市知识产权局本级</w:t>
            </w: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46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themeColor="text1"/>
                <w:kern w:val="0"/>
                <w:sz w:val="21"/>
                <w:szCs w:val="21"/>
                <w14:textFill>
                  <w14:solidFill>
                    <w14:schemeClr w14:val="tx1"/>
                  </w14:solidFill>
                </w14:textFill>
              </w:rPr>
              <w:t>北京市知识产权局本级</w:t>
            </w:r>
          </w:p>
        </w:tc>
      </w:tr>
      <w:tr>
        <w:tblPrEx>
          <w:tblCellMar>
            <w:top w:w="0" w:type="dxa"/>
            <w:left w:w="108" w:type="dxa"/>
            <w:bottom w:w="0" w:type="dxa"/>
            <w:right w:w="108" w:type="dxa"/>
          </w:tblCellMar>
        </w:tblPrEx>
        <w:trPr>
          <w:trHeight w:val="574" w:hRule="exact"/>
          <w:jc w:val="center"/>
        </w:trPr>
        <w:tc>
          <w:tcPr>
            <w:tcW w:w="13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24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李广明</w:t>
            </w: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46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5</w:t>
            </w:r>
            <w:r>
              <w:rPr>
                <w:rFonts w:hint="eastAsia" w:ascii="仿宋_GB2312" w:hAnsi="仿宋_GB2312" w:eastAsia="仿宋_GB2312" w:cs="仿宋_GB2312"/>
                <w:kern w:val="0"/>
                <w:sz w:val="21"/>
                <w:szCs w:val="21"/>
                <w:lang w:val="en-US" w:eastAsia="zh-CN"/>
              </w:rPr>
              <w:t>5536350</w:t>
            </w:r>
          </w:p>
        </w:tc>
      </w:tr>
      <w:tr>
        <w:tblPrEx>
          <w:tblCellMar>
            <w:top w:w="0" w:type="dxa"/>
            <w:left w:w="108" w:type="dxa"/>
            <w:bottom w:w="0" w:type="dxa"/>
            <w:right w:w="108" w:type="dxa"/>
          </w:tblCellMar>
        </w:tblPrEx>
        <w:trPr>
          <w:trHeight w:val="717" w:hRule="exact"/>
          <w:jc w:val="center"/>
        </w:trPr>
        <w:tc>
          <w:tcPr>
            <w:tcW w:w="13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0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106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31" w:hRule="exac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FF0000"/>
                <w:kern w:val="0"/>
                <w:sz w:val="21"/>
                <w:szCs w:val="21"/>
              </w:rPr>
            </w:pP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300.08</w:t>
            </w:r>
          </w:p>
        </w:tc>
        <w:tc>
          <w:tcPr>
            <w:tcW w:w="10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260</w:t>
            </w:r>
            <w:r>
              <w:rPr>
                <w:rFonts w:hint="eastAsia" w:ascii="仿宋_GB2312" w:hAnsi="仿宋_GB2312" w:eastAsia="仿宋_GB2312" w:cs="仿宋_GB2312"/>
                <w:color w:val="000000" w:themeColor="text1"/>
                <w:kern w:val="0"/>
                <w:sz w:val="21"/>
                <w:szCs w:val="21"/>
                <w14:textFill>
                  <w14:solidFill>
                    <w14:schemeClr w14:val="tx1"/>
                  </w14:solidFill>
                </w14:textFill>
              </w:rPr>
              <w:t>.08</w:t>
            </w: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222.222574</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85.44%</w:t>
            </w:r>
          </w:p>
        </w:tc>
        <w:tc>
          <w:tcPr>
            <w:tcW w:w="106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8.5</w:t>
            </w:r>
          </w:p>
        </w:tc>
      </w:tr>
      <w:tr>
        <w:tblPrEx>
          <w:tblCellMar>
            <w:top w:w="0" w:type="dxa"/>
            <w:left w:w="108" w:type="dxa"/>
            <w:bottom w:w="0" w:type="dxa"/>
            <w:right w:w="108" w:type="dxa"/>
          </w:tblCellMar>
        </w:tblPrEx>
        <w:trPr>
          <w:trHeight w:val="487" w:hRule="exac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其中：当年财政拨款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0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222.222574</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06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492" w:hRule="exac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0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06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446" w:hRule="exact"/>
          <w:jc w:val="center"/>
        </w:trPr>
        <w:tc>
          <w:tcPr>
            <w:tcW w:w="13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09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3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06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3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预期目标</w:t>
            </w:r>
          </w:p>
        </w:tc>
        <w:tc>
          <w:tcPr>
            <w:tcW w:w="3773"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实际完成情况</w:t>
            </w:r>
          </w:p>
        </w:tc>
      </w:tr>
      <w:tr>
        <w:tblPrEx>
          <w:tblCellMar>
            <w:top w:w="0" w:type="dxa"/>
            <w:left w:w="108" w:type="dxa"/>
            <w:bottom w:w="0" w:type="dxa"/>
            <w:right w:w="108" w:type="dxa"/>
          </w:tblCellMar>
        </w:tblPrEx>
        <w:trPr>
          <w:trHeight w:val="3425"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503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加强涉外知识产权统筹协调，推进知识产权领域国际和港澳台事务合作，积极参与世界知识产权组织框架下的全球知识产权治理，深化与共建“一带一路”国家和地区知识产权务实合作，组织“首都知识产权国际交流合作基地”“一带一路”首都知识产权发展联盟项目等促进知识产权民间交往能力进一步提升，拓展对外交流合作渠道，积极引聚知识产权领域高端资源要素，举办国别区域知识产权主题活动提升创新主体涉外水平，在“中关村论坛”“京台科技论坛”等论坛上举办知识产权国际活动加强宣传我市知识产权工作成就，加快知识产权国际化发展。</w:t>
            </w:r>
          </w:p>
        </w:tc>
        <w:tc>
          <w:tcPr>
            <w:tcW w:w="3773"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深化与</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WIPO的合作，开展国别区域知识产权主题活动，开展涉外调研和服务，举办交流座谈及经验分享活动，收集并推广国内外知识产权典型故事，完成北京知识产权国际化发展报告，开展涉外知识产权数据分析。成功在京试点开展WIPO GREEN加速项目。</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在京港洽谈会、</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服贸会、京台科技论坛、中关村论坛上成功举办知识产权分论坛。支持首都知识产权国际交流合作基地、“一带一路”联盟单位及技术与创新知识产权中心共开展7个项目，深化涉外知识产权交流与合作。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7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29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三级指标</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年度</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指标值</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实际</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完成值</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分值</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得分</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偏差原因分析及改进</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措施</w:t>
            </w:r>
          </w:p>
        </w:tc>
      </w:tr>
      <w:tr>
        <w:tblPrEx>
          <w:tblCellMar>
            <w:top w:w="0" w:type="dxa"/>
            <w:left w:w="108" w:type="dxa"/>
            <w:bottom w:w="0" w:type="dxa"/>
            <w:right w:w="108" w:type="dxa"/>
          </w:tblCellMar>
        </w:tblPrEx>
        <w:trPr>
          <w:trHeight w:val="9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29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组织WIPO国际服务体系推广和国别区域主题知识产权活动</w:t>
            </w:r>
          </w:p>
        </w:tc>
        <w:tc>
          <w:tcPr>
            <w:tcW w:w="814" w:type="dxa"/>
            <w:tcBorders>
              <w:top w:val="single" w:color="auto" w:sz="4" w:space="0"/>
              <w:left w:val="nil"/>
              <w:bottom w:val="single" w:color="auto" w:sz="4" w:space="0"/>
              <w:right w:val="single" w:color="auto" w:sz="4" w:space="0"/>
            </w:tcBorders>
            <w:noWrap w:val="0"/>
            <w:vAlign w:val="center"/>
          </w:tcPr>
          <w:p>
            <w:pPr>
              <w:widowControl/>
              <w:tabs>
                <w:tab w:val="left" w:pos="236"/>
              </w:tabs>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4场</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237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支持首都知识产权国际交流合作基地、“一带一路”联盟单位及技术与创新知识产权中心开展项目数</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8个</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7</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5</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偏差原因：有</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1家单位主动退出。改进措施：申报时将加强指导，做好沟通。</w:t>
            </w:r>
          </w:p>
        </w:tc>
      </w:tr>
      <w:tr>
        <w:tblPrEx>
          <w:tblCellMar>
            <w:top w:w="0" w:type="dxa"/>
            <w:left w:w="108" w:type="dxa"/>
            <w:bottom w:w="0" w:type="dxa"/>
            <w:right w:w="108" w:type="dxa"/>
          </w:tblCellMar>
        </w:tblPrEx>
        <w:trPr>
          <w:trHeight w:val="85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在中关村论坛等重大活动上举办知识产权</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分</w:t>
            </w:r>
            <w:r>
              <w:rPr>
                <w:rFonts w:hint="eastAsia" w:ascii="仿宋_GB2312" w:hAnsi="仿宋_GB2312" w:eastAsia="仿宋_GB2312" w:cs="仿宋_GB2312"/>
                <w:color w:val="000000" w:themeColor="text1"/>
                <w:kern w:val="0"/>
                <w:sz w:val="21"/>
                <w:szCs w:val="21"/>
                <w14:textFill>
                  <w14:solidFill>
                    <w14:schemeClr w14:val="tx1"/>
                  </w14:solidFill>
                </w14:textFill>
              </w:rPr>
              <w:t>论坛场数</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4场</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92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在中关村论坛等重大活动上顺利举办知识产权论坛</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62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完成</w:t>
            </w:r>
            <w:r>
              <w:rPr>
                <w:rFonts w:hint="eastAsia" w:ascii="仿宋_GB2312" w:hAnsi="仿宋_GB2312" w:eastAsia="仿宋_GB2312" w:cs="仿宋_GB2312"/>
                <w:color w:val="000000" w:themeColor="text1"/>
                <w:kern w:val="0"/>
                <w:sz w:val="21"/>
                <w:szCs w:val="21"/>
                <w14:textFill>
                  <w14:solidFill>
                    <w14:schemeClr w14:val="tx1"/>
                  </w14:solidFill>
                </w14:textFill>
              </w:rPr>
              <w:t>知识产权国际化发展报告</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并结项</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92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WIPO国际服务体系推广和国别区域主题知识产权活动顺利举办</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5</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t>5</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p>
        </w:tc>
      </w:tr>
      <w:tr>
        <w:tblPrEx>
          <w:tblCellMar>
            <w:top w:w="0" w:type="dxa"/>
            <w:left w:w="108" w:type="dxa"/>
            <w:bottom w:w="0" w:type="dxa"/>
            <w:right w:w="108" w:type="dxa"/>
          </w:tblCellMar>
        </w:tblPrEx>
        <w:trPr>
          <w:trHeight w:val="135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首都知识产权国际交流合作基地、“一带一路”联盟单位及技术与创新知识产权中心项目顺利完成结项</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76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完成知识产权国际化发展报告</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135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首都知识产权国际交流合作基地、“一带一路”联盟单位及技术与创新知识产权中心项目完成时间</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10月</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在中关村论坛等重大活动上举办知识产权论坛完成时间</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11月</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65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完成知识产权国际化发展报告时间</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119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组织WIPO国际服务体系推广和国别区域主题知识产权活动完成时间</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64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推进与WIPO合作和国际化能力提升项目</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109万元</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93.5万元</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组织知识产权国际（港澳台）重要品牌活动项目</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60万元</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60万元</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4</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78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促进知识产权民间对外交往和能力提升项目</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67万元</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59万元</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8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效益指标</w:t>
            </w:r>
          </w:p>
        </w:tc>
        <w:tc>
          <w:tcPr>
            <w:tcW w:w="129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社会效益</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促进与港台知识产权交往</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92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提升</w:t>
            </w:r>
            <w:r>
              <w:rPr>
                <w:rFonts w:hint="eastAsia" w:ascii="仿宋_GB2312" w:hAnsi="仿宋_GB2312" w:eastAsia="仿宋_GB2312" w:cs="仿宋_GB2312"/>
                <w:color w:val="000000" w:themeColor="text1"/>
                <w:kern w:val="0"/>
                <w:sz w:val="21"/>
                <w:szCs w:val="21"/>
                <w14:textFill>
                  <w14:solidFill>
                    <w14:schemeClr w14:val="tx1"/>
                  </w14:solidFill>
                </w14:textFill>
              </w:rPr>
              <w:t>知识产权国际化水平</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bidi="ar-SA"/>
                <w14:textFill>
                  <w14:solidFill>
                    <w14:schemeClr w14:val="tx1"/>
                  </w14:solidFill>
                </w14:textFill>
              </w:rPr>
              <w:t>10</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103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满意度指标</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服务质量、效果反馈</w:t>
            </w:r>
          </w:p>
        </w:tc>
        <w:tc>
          <w:tcPr>
            <w:tcW w:w="8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90%</w:t>
            </w:r>
          </w:p>
        </w:tc>
        <w:tc>
          <w:tcPr>
            <w:tcW w:w="11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100%</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477" w:hRule="exact"/>
          <w:jc w:val="center"/>
        </w:trPr>
        <w:tc>
          <w:tcPr>
            <w:tcW w:w="675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总分</w:t>
            </w:r>
          </w:p>
        </w:tc>
        <w:tc>
          <w:tcPr>
            <w:tcW w:w="57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100</w:t>
            </w:r>
          </w:p>
        </w:tc>
        <w:tc>
          <w:tcPr>
            <w:tcW w:w="7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97.5</w:t>
            </w:r>
          </w:p>
        </w:tc>
        <w:tc>
          <w:tcPr>
            <w:tcW w:w="13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bl>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13FD6341"/>
    <w:rsid w:val="1FF9C534"/>
    <w:rsid w:val="20D273D5"/>
    <w:rsid w:val="2F266246"/>
    <w:rsid w:val="2FFC6BA3"/>
    <w:rsid w:val="37173543"/>
    <w:rsid w:val="3B7FC5F9"/>
    <w:rsid w:val="3E5D7E78"/>
    <w:rsid w:val="3F7E2066"/>
    <w:rsid w:val="3F9F7BD0"/>
    <w:rsid w:val="3FF5FB53"/>
    <w:rsid w:val="3FF76880"/>
    <w:rsid w:val="3FFF481C"/>
    <w:rsid w:val="4C682E6E"/>
    <w:rsid w:val="4FD9E3C1"/>
    <w:rsid w:val="560F0A69"/>
    <w:rsid w:val="56BAFC50"/>
    <w:rsid w:val="56F3DA22"/>
    <w:rsid w:val="56FC7C99"/>
    <w:rsid w:val="5A4F5350"/>
    <w:rsid w:val="5CF68918"/>
    <w:rsid w:val="5E6FA82E"/>
    <w:rsid w:val="5FFA4942"/>
    <w:rsid w:val="6DE5B730"/>
    <w:rsid w:val="6F7989B1"/>
    <w:rsid w:val="737B2C1C"/>
    <w:rsid w:val="76FF3738"/>
    <w:rsid w:val="777D8F66"/>
    <w:rsid w:val="77EE9EA8"/>
    <w:rsid w:val="7AB7FF50"/>
    <w:rsid w:val="7BBA4E35"/>
    <w:rsid w:val="7BFEB0DB"/>
    <w:rsid w:val="7CD79BDE"/>
    <w:rsid w:val="7DBF1E12"/>
    <w:rsid w:val="7DFBACB7"/>
    <w:rsid w:val="7F63744F"/>
    <w:rsid w:val="7F7D8DD8"/>
    <w:rsid w:val="7F7F6BB0"/>
    <w:rsid w:val="7F7FB74B"/>
    <w:rsid w:val="7F9B608E"/>
    <w:rsid w:val="7FFB4C32"/>
    <w:rsid w:val="9DE51B3A"/>
    <w:rsid w:val="9EEAE836"/>
    <w:rsid w:val="9FFE3A49"/>
    <w:rsid w:val="B3F3652B"/>
    <w:rsid w:val="BB9FD0C9"/>
    <w:rsid w:val="BDFF73EC"/>
    <w:rsid w:val="BEBD17CF"/>
    <w:rsid w:val="BFCA384F"/>
    <w:rsid w:val="BFDFB41F"/>
    <w:rsid w:val="CEFD3F3D"/>
    <w:rsid w:val="D7BE4959"/>
    <w:rsid w:val="DABD00A9"/>
    <w:rsid w:val="DBFA18B9"/>
    <w:rsid w:val="E3DF2A2E"/>
    <w:rsid w:val="E477B917"/>
    <w:rsid w:val="E6F17D96"/>
    <w:rsid w:val="E76F2340"/>
    <w:rsid w:val="E975635C"/>
    <w:rsid w:val="E9E7BC68"/>
    <w:rsid w:val="EA3F77F2"/>
    <w:rsid w:val="EB27C660"/>
    <w:rsid w:val="EBFF939E"/>
    <w:rsid w:val="EC97C54E"/>
    <w:rsid w:val="ECA7CDEE"/>
    <w:rsid w:val="EEBF4ED9"/>
    <w:rsid w:val="EEFE5989"/>
    <w:rsid w:val="EF9A6C47"/>
    <w:rsid w:val="EFCF3EAE"/>
    <w:rsid w:val="EFFEB0F2"/>
    <w:rsid w:val="EFFF12BE"/>
    <w:rsid w:val="F5B764A2"/>
    <w:rsid w:val="F77F09F4"/>
    <w:rsid w:val="F7DF42C5"/>
    <w:rsid w:val="F9BFA39A"/>
    <w:rsid w:val="FCB4FC32"/>
    <w:rsid w:val="FE7B37D3"/>
    <w:rsid w:val="FEF5FF64"/>
    <w:rsid w:val="FF6C1C18"/>
    <w:rsid w:val="FF7F0F59"/>
    <w:rsid w:val="FF9EBC68"/>
    <w:rsid w:val="FFB7AEEA"/>
    <w:rsid w:val="FFBE05ED"/>
    <w:rsid w:val="FFD7BFFC"/>
    <w:rsid w:val="FFF71E65"/>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1629</Words>
  <Characters>1784</Characters>
  <Lines>0</Lines>
  <Paragraphs>0</Paragraphs>
  <TotalTime>3</TotalTime>
  <ScaleCrop>false</ScaleCrop>
  <LinksUpToDate>false</LinksUpToDate>
  <CharactersWithSpaces>1807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2022-03-16T03:16:00Z</dcterms:created>
  <dc:creator>user</dc:creator>
  <cp:lastModifiedBy>:D</cp:lastModifiedBy>
  <cp:lastPrinted>2022-03-30T10:01:00Z</cp:lastPrinted>
  <dcterms:modified xsi:type="dcterms:W3CDTF">2024-06-07T05:33:37Z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DB31E8DCE2734BEF9E02374702C15872_12</vt:lpwstr>
  </property>
</Properties>
</file>