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640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ind w:firstLine="72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ind w:firstLine="56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（2023年度）</w:t>
      </w:r>
    </w:p>
    <w:p>
      <w:pPr>
        <w:spacing w:line="240" w:lineRule="exact"/>
        <w:ind w:firstLine="600"/>
        <w:rPr>
          <w:rFonts w:ascii="仿宋_GB2312" w:hAnsi="宋体" w:eastAsia="仿宋_GB2312"/>
          <w:sz w:val="30"/>
          <w:szCs w:val="30"/>
        </w:rPr>
      </w:pPr>
    </w:p>
    <w:tbl>
      <w:tblPr>
        <w:tblStyle w:val="8"/>
        <w:tblW w:w="100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646"/>
        <w:gridCol w:w="831"/>
        <w:gridCol w:w="1223"/>
        <w:gridCol w:w="866"/>
        <w:gridCol w:w="1521"/>
        <w:gridCol w:w="1082"/>
        <w:gridCol w:w="52"/>
        <w:gridCol w:w="567"/>
        <w:gridCol w:w="142"/>
        <w:gridCol w:w="760"/>
        <w:gridCol w:w="90"/>
        <w:gridCol w:w="15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6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基础信息系统及政务网站运维项目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4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1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中关村知识产权促进中心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4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梁正央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1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82354948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13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3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299.4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299.4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299.2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99.93%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299.4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299.4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299.2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99.93%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3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3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目标</w:t>
            </w:r>
          </w:p>
        </w:tc>
        <w:tc>
          <w:tcPr>
            <w:tcW w:w="5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通过对北京市知识产权局网站的各栏目内容运维，进一步推进网站服务集中规范、信息数据集约共享、安全防护稳定可靠、工作机制健全高效，全面提升我局官网的公共服务水平。2.通过对北京市知识产权公共信息服务平台的技术运维，保障应用系统的安全、稳定的运转，持续为公众提供查询，检索，信息发布等服务。3.通过基础网络和办公设备运维服务，确保促进中心各项工作正常开展。</w:t>
            </w:r>
          </w:p>
        </w:tc>
        <w:tc>
          <w:tcPr>
            <w:tcW w:w="4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保障北京市知识产权局网站系统正常稳定运行，并能够按照网站考评指标的要求，及时对网站栏目内容进行更新和维护。2.做好北京市知识产权公共信息服务平台内容运维以及硬件系统运维，按时完成信息发布、数据统计等工作，及时进行系统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Hans"/>
              </w:rPr>
              <w:t>安全漏洞修复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3.促进中心相关设备运行基本正常，出现故障均在时限内圆满解决，保障了促进中心办公网络的正常运行，办公设备的正常运转。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软件维护数量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≥45个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45个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应用系统维护数量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≥2个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3个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系统故障修复率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软件维护故障次数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≤5次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数据差错率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≤3%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故障修复时间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≤24小时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24小时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故障应急响应时间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≤30分钟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30分钟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应用系统维护成本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≤269.6万元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269.6万元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系统利用率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≥32%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33.7%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使用人员满意度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69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99.99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480" w:lineRule="exact"/>
        <w:ind w:firstLine="600" w:firstLineChars="200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560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034BF7"/>
    <w:rsid w:val="000C34CF"/>
    <w:rsid w:val="00184CF4"/>
    <w:rsid w:val="002A1B48"/>
    <w:rsid w:val="002B1D7F"/>
    <w:rsid w:val="002E7332"/>
    <w:rsid w:val="002F60EE"/>
    <w:rsid w:val="003B528C"/>
    <w:rsid w:val="005B31B4"/>
    <w:rsid w:val="007C1176"/>
    <w:rsid w:val="007C5780"/>
    <w:rsid w:val="008039D3"/>
    <w:rsid w:val="008F6011"/>
    <w:rsid w:val="0091421A"/>
    <w:rsid w:val="00934B8D"/>
    <w:rsid w:val="009849FA"/>
    <w:rsid w:val="00A36B07"/>
    <w:rsid w:val="00AC5D3F"/>
    <w:rsid w:val="00AD0E3F"/>
    <w:rsid w:val="00AD5BD1"/>
    <w:rsid w:val="00BA5B30"/>
    <w:rsid w:val="00C070A7"/>
    <w:rsid w:val="00DE2318"/>
    <w:rsid w:val="00E55038"/>
    <w:rsid w:val="00EF69A6"/>
    <w:rsid w:val="0B7B65A0"/>
    <w:rsid w:val="0C654F6B"/>
    <w:rsid w:val="0D223618"/>
    <w:rsid w:val="0D825EFF"/>
    <w:rsid w:val="14451130"/>
    <w:rsid w:val="1AF66D1F"/>
    <w:rsid w:val="1C0C054F"/>
    <w:rsid w:val="22C205C9"/>
    <w:rsid w:val="29780C0C"/>
    <w:rsid w:val="32967CC1"/>
    <w:rsid w:val="37173543"/>
    <w:rsid w:val="39C9085A"/>
    <w:rsid w:val="3FF76880"/>
    <w:rsid w:val="4DF46741"/>
    <w:rsid w:val="654E5711"/>
    <w:rsid w:val="67801DCE"/>
    <w:rsid w:val="718B55F7"/>
    <w:rsid w:val="71CF3736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733</Words>
  <Characters>836</Characters>
  <Lines>12</Lines>
  <Paragraphs>3</Paragraphs>
  <TotalTime>17</TotalTime>
  <ScaleCrop>false</ScaleCrop>
  <LinksUpToDate>false</LinksUpToDate>
  <CharactersWithSpaces>865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:D</cp:lastModifiedBy>
  <cp:lastPrinted>2024-04-17T02:39:00Z</cp:lastPrinted>
  <dcterms:modified xsi:type="dcterms:W3CDTF">2024-06-07T07:04:47Z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EF8E4C2E24D94AF2A7A4302B4F9B9D33_13</vt:lpwstr>
  </property>
</Properties>
</file>