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default" w:ascii="黑体" w:hAnsi="黑体" w:eastAsia="黑体"/>
          <w:sz w:val="32"/>
          <w:szCs w:val="32"/>
          <w:lang w:val="en-US" w:eastAsia="zh-CN"/>
        </w:rPr>
      </w:pP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6"/>
        <w:tblW w:w="9566" w:type="dxa"/>
        <w:jc w:val="center"/>
        <w:tblLayout w:type="fixed"/>
        <w:tblCellMar>
          <w:top w:w="0" w:type="dxa"/>
          <w:left w:w="108" w:type="dxa"/>
          <w:bottom w:w="0" w:type="dxa"/>
          <w:right w:w="108" w:type="dxa"/>
        </w:tblCellMar>
      </w:tblPr>
      <w:tblGrid>
        <w:gridCol w:w="585"/>
        <w:gridCol w:w="837"/>
        <w:gridCol w:w="1243"/>
        <w:gridCol w:w="932"/>
        <w:gridCol w:w="922"/>
        <w:gridCol w:w="283"/>
        <w:gridCol w:w="849"/>
        <w:gridCol w:w="848"/>
        <w:gridCol w:w="279"/>
        <w:gridCol w:w="284"/>
        <w:gridCol w:w="820"/>
        <w:gridCol w:w="849"/>
        <w:gridCol w:w="835"/>
      </w:tblGrid>
      <w:tr>
        <w:tblPrEx>
          <w:tblCellMar>
            <w:top w:w="0" w:type="dxa"/>
            <w:left w:w="108" w:type="dxa"/>
            <w:bottom w:w="0" w:type="dxa"/>
            <w:right w:w="108" w:type="dxa"/>
          </w:tblCellMar>
        </w:tblPrEx>
        <w:trPr>
          <w:trHeight w:val="489" w:hRule="exact"/>
          <w:jc w:val="center"/>
        </w:trPr>
        <w:tc>
          <w:tcPr>
            <w:tcW w:w="142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项目名称</w:t>
            </w:r>
          </w:p>
        </w:tc>
        <w:tc>
          <w:tcPr>
            <w:tcW w:w="8144" w:type="dxa"/>
            <w:gridSpan w:val="11"/>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知识产权前沿法规政策及改革措施研究项目</w:t>
            </w:r>
          </w:p>
        </w:tc>
      </w:tr>
      <w:tr>
        <w:tblPrEx>
          <w:tblCellMar>
            <w:top w:w="0" w:type="dxa"/>
            <w:left w:w="108" w:type="dxa"/>
            <w:bottom w:w="0" w:type="dxa"/>
            <w:right w:w="108" w:type="dxa"/>
          </w:tblCellMar>
        </w:tblPrEx>
        <w:trPr>
          <w:trHeight w:val="446" w:hRule="exact"/>
          <w:jc w:val="center"/>
        </w:trPr>
        <w:tc>
          <w:tcPr>
            <w:tcW w:w="142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主管部门</w:t>
            </w:r>
          </w:p>
        </w:tc>
        <w:tc>
          <w:tcPr>
            <w:tcW w:w="4229"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北京市知识产权局</w:t>
            </w:r>
          </w:p>
        </w:tc>
        <w:tc>
          <w:tcPr>
            <w:tcW w:w="1127"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实施单位</w:t>
            </w:r>
          </w:p>
        </w:tc>
        <w:tc>
          <w:tcPr>
            <w:tcW w:w="278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北京市知识产权局本级</w:t>
            </w:r>
          </w:p>
        </w:tc>
      </w:tr>
      <w:tr>
        <w:tblPrEx>
          <w:tblCellMar>
            <w:top w:w="0" w:type="dxa"/>
            <w:left w:w="108" w:type="dxa"/>
            <w:bottom w:w="0" w:type="dxa"/>
            <w:right w:w="108" w:type="dxa"/>
          </w:tblCellMar>
        </w:tblPrEx>
        <w:trPr>
          <w:trHeight w:val="500" w:hRule="exact"/>
          <w:jc w:val="center"/>
        </w:trPr>
        <w:tc>
          <w:tcPr>
            <w:tcW w:w="142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项目负责人</w:t>
            </w:r>
          </w:p>
        </w:tc>
        <w:tc>
          <w:tcPr>
            <w:tcW w:w="4229"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郝青</w:t>
            </w:r>
          </w:p>
        </w:tc>
        <w:tc>
          <w:tcPr>
            <w:tcW w:w="1127"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联系电话</w:t>
            </w:r>
          </w:p>
        </w:tc>
        <w:tc>
          <w:tcPr>
            <w:tcW w:w="278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55536310</w:t>
            </w:r>
          </w:p>
        </w:tc>
      </w:tr>
      <w:tr>
        <w:tblPrEx>
          <w:tblCellMar>
            <w:top w:w="0" w:type="dxa"/>
            <w:left w:w="108" w:type="dxa"/>
            <w:bottom w:w="0" w:type="dxa"/>
            <w:right w:w="108" w:type="dxa"/>
          </w:tblCellMar>
        </w:tblPrEx>
        <w:trPr>
          <w:trHeight w:val="665" w:hRule="exact"/>
          <w:jc w:val="center"/>
        </w:trPr>
        <w:tc>
          <w:tcPr>
            <w:tcW w:w="1422"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项目资金</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（万元）</w:t>
            </w:r>
          </w:p>
        </w:tc>
        <w:tc>
          <w:tcPr>
            <w:tcW w:w="217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9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年初预</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3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全年预</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执行数</w:t>
            </w:r>
          </w:p>
        </w:tc>
        <w:tc>
          <w:tcPr>
            <w:tcW w:w="11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执行率</w:t>
            </w:r>
          </w:p>
        </w:tc>
        <w:tc>
          <w:tcPr>
            <w:tcW w:w="8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r>
      <w:tr>
        <w:tblPrEx>
          <w:tblCellMar>
            <w:top w:w="0" w:type="dxa"/>
            <w:left w:w="108" w:type="dxa"/>
            <w:bottom w:w="0" w:type="dxa"/>
            <w:right w:w="108" w:type="dxa"/>
          </w:tblCellMar>
        </w:tblPrEx>
        <w:trPr>
          <w:trHeight w:val="478" w:hRule="exact"/>
          <w:jc w:val="center"/>
        </w:trPr>
        <w:tc>
          <w:tcPr>
            <w:tcW w:w="142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217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年度资金总额</w:t>
            </w:r>
          </w:p>
        </w:tc>
        <w:tc>
          <w:tcPr>
            <w:tcW w:w="9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20</w:t>
            </w:r>
          </w:p>
        </w:tc>
        <w:tc>
          <w:tcPr>
            <w:tcW w:w="113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20</w:t>
            </w:r>
          </w:p>
        </w:tc>
        <w:tc>
          <w:tcPr>
            <w:tcW w:w="1127"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19.8</w:t>
            </w:r>
          </w:p>
        </w:tc>
        <w:tc>
          <w:tcPr>
            <w:tcW w:w="11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99%</w:t>
            </w:r>
          </w:p>
        </w:tc>
        <w:tc>
          <w:tcPr>
            <w:tcW w:w="8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9.9</w:t>
            </w:r>
          </w:p>
        </w:tc>
      </w:tr>
      <w:tr>
        <w:tblPrEx>
          <w:tblCellMar>
            <w:top w:w="0" w:type="dxa"/>
            <w:left w:w="108" w:type="dxa"/>
            <w:bottom w:w="0" w:type="dxa"/>
            <w:right w:w="108" w:type="dxa"/>
          </w:tblCellMar>
        </w:tblPrEx>
        <w:trPr>
          <w:trHeight w:val="601" w:hRule="exact"/>
          <w:jc w:val="center"/>
        </w:trPr>
        <w:tc>
          <w:tcPr>
            <w:tcW w:w="142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217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其中：当年财政拨款</w:t>
            </w:r>
          </w:p>
        </w:tc>
        <w:tc>
          <w:tcPr>
            <w:tcW w:w="9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20</w:t>
            </w:r>
          </w:p>
        </w:tc>
        <w:tc>
          <w:tcPr>
            <w:tcW w:w="113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20</w:t>
            </w:r>
          </w:p>
        </w:tc>
        <w:tc>
          <w:tcPr>
            <w:tcW w:w="1127"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19.8</w:t>
            </w:r>
          </w:p>
        </w:tc>
        <w:tc>
          <w:tcPr>
            <w:tcW w:w="11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8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67" w:hRule="exact"/>
          <w:jc w:val="center"/>
        </w:trPr>
        <w:tc>
          <w:tcPr>
            <w:tcW w:w="142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217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上年结转资金</w:t>
            </w:r>
          </w:p>
        </w:tc>
        <w:tc>
          <w:tcPr>
            <w:tcW w:w="9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w:t>
            </w:r>
          </w:p>
        </w:tc>
        <w:tc>
          <w:tcPr>
            <w:tcW w:w="113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1127"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11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8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32" w:hRule="exact"/>
          <w:jc w:val="center"/>
        </w:trPr>
        <w:tc>
          <w:tcPr>
            <w:tcW w:w="142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217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 xml:space="preserve">        </w:t>
            </w:r>
            <w:r>
              <w:rPr>
                <w:rFonts w:hint="eastAsia" w:ascii="仿宋_GB2312" w:hAnsi="仿宋_GB2312" w:eastAsia="仿宋_GB2312" w:cs="仿宋_GB2312"/>
                <w:kern w:val="0"/>
                <w:sz w:val="21"/>
                <w:szCs w:val="21"/>
              </w:rPr>
              <w:t xml:space="preserve">  其他资金</w:t>
            </w:r>
          </w:p>
        </w:tc>
        <w:tc>
          <w:tcPr>
            <w:tcW w:w="92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113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1127"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11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8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444"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预期目标</w:t>
            </w:r>
          </w:p>
        </w:tc>
        <w:tc>
          <w:tcPr>
            <w:tcW w:w="3915"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实际完成情况</w:t>
            </w:r>
          </w:p>
        </w:tc>
      </w:tr>
      <w:tr>
        <w:tblPrEx>
          <w:tblCellMar>
            <w:top w:w="0" w:type="dxa"/>
            <w:left w:w="108" w:type="dxa"/>
            <w:bottom w:w="0" w:type="dxa"/>
            <w:right w:w="108" w:type="dxa"/>
          </w:tblCellMar>
        </w:tblPrEx>
        <w:trPr>
          <w:trHeight w:val="1421"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围绕数据知识产权保护规则等知识产权前沿法规政策及改革措施相关问题开展研究，结合我市实际，系统梳理相关机制和规则设置中的重点难点问题，为政策法规制定提供支撑。</w:t>
            </w:r>
          </w:p>
        </w:tc>
        <w:tc>
          <w:tcPr>
            <w:tcW w:w="3915"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完成知识产权前沿法规政策及改革措施研究课题，形成知识产权前沿法规政策及改革措施研究报告，提出了较完整的方案和政策措施建议。</w:t>
            </w:r>
          </w:p>
        </w:tc>
      </w:tr>
      <w:tr>
        <w:tblPrEx>
          <w:tblCellMar>
            <w:top w:w="0" w:type="dxa"/>
            <w:left w:w="108" w:type="dxa"/>
            <w:bottom w:w="0" w:type="dxa"/>
            <w:right w:w="108" w:type="dxa"/>
          </w:tblCellMar>
        </w:tblPrEx>
        <w:trPr>
          <w:trHeight w:val="701"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绩</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效</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指</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标</w:t>
            </w:r>
          </w:p>
        </w:tc>
        <w:tc>
          <w:tcPr>
            <w:tcW w:w="83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指标</w:t>
            </w:r>
          </w:p>
        </w:tc>
        <w:tc>
          <w:tcPr>
            <w:tcW w:w="124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c>
          <w:tcPr>
            <w:tcW w:w="168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偏差原因分析及改进措施</w:t>
            </w:r>
          </w:p>
        </w:tc>
      </w:tr>
      <w:tr>
        <w:tblPrEx>
          <w:tblCellMar>
            <w:top w:w="0" w:type="dxa"/>
            <w:left w:w="108" w:type="dxa"/>
            <w:bottom w:w="0" w:type="dxa"/>
            <w:right w:w="108" w:type="dxa"/>
          </w:tblCellMar>
        </w:tblPrEx>
        <w:trPr>
          <w:trHeight w:val="105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83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12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研究成果报告</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1套</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1套</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20</w:t>
            </w:r>
          </w:p>
        </w:tc>
        <w:tc>
          <w:tcPr>
            <w:tcW w:w="8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20</w:t>
            </w:r>
          </w:p>
        </w:tc>
        <w:tc>
          <w:tcPr>
            <w:tcW w:w="168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218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83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研究内容包含国内外情况、我市情况梳理及相关规则建议等内容，成果报告逻辑清晰、事实清楚、语言规范、数据详实</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rPr>
              <w:t>优良中低差</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优</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w:t>
            </w:r>
            <w:r>
              <w:rPr>
                <w:rFonts w:hint="eastAsia" w:ascii="仿宋_GB2312" w:hAnsi="仿宋_GB2312" w:eastAsia="仿宋_GB2312" w:cs="仿宋_GB2312"/>
                <w:kern w:val="0"/>
                <w:sz w:val="21"/>
                <w:szCs w:val="21"/>
              </w:rPr>
              <w:t>0</w:t>
            </w:r>
          </w:p>
        </w:tc>
        <w:tc>
          <w:tcPr>
            <w:tcW w:w="8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20</w:t>
            </w:r>
          </w:p>
        </w:tc>
        <w:tc>
          <w:tcPr>
            <w:tcW w:w="168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05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83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课题结题时间</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12月</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8月</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w:t>
            </w:r>
            <w:r>
              <w:rPr>
                <w:rFonts w:hint="eastAsia" w:ascii="仿宋_GB2312" w:hAnsi="仿宋_GB2312" w:eastAsia="仿宋_GB2312" w:cs="仿宋_GB2312"/>
                <w:kern w:val="0"/>
                <w:sz w:val="21"/>
                <w:szCs w:val="21"/>
              </w:rPr>
              <w:t>0</w:t>
            </w:r>
          </w:p>
        </w:tc>
        <w:tc>
          <w:tcPr>
            <w:tcW w:w="8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w:t>
            </w:r>
            <w:r>
              <w:rPr>
                <w:rFonts w:hint="eastAsia" w:ascii="仿宋_GB2312" w:hAnsi="仿宋_GB2312" w:eastAsia="仿宋_GB2312" w:cs="仿宋_GB2312"/>
                <w:kern w:val="0"/>
                <w:sz w:val="21"/>
                <w:szCs w:val="21"/>
              </w:rPr>
              <w:t>0</w:t>
            </w:r>
          </w:p>
        </w:tc>
        <w:tc>
          <w:tcPr>
            <w:tcW w:w="168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81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83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成本指标</w:t>
            </w: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项目预算控制数</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≤20万元</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19.8万元</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3</w:t>
            </w:r>
            <w:r>
              <w:rPr>
                <w:rFonts w:hint="eastAsia" w:ascii="仿宋_GB2312" w:hAnsi="仿宋_GB2312" w:eastAsia="仿宋_GB2312" w:cs="仿宋_GB2312"/>
                <w:kern w:val="0"/>
                <w:sz w:val="21"/>
                <w:szCs w:val="21"/>
              </w:rPr>
              <w:t>0</w:t>
            </w:r>
          </w:p>
        </w:tc>
        <w:tc>
          <w:tcPr>
            <w:tcW w:w="8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3</w:t>
            </w:r>
            <w:r>
              <w:rPr>
                <w:rFonts w:hint="eastAsia" w:ascii="仿宋_GB2312" w:hAnsi="仿宋_GB2312" w:eastAsia="仿宋_GB2312" w:cs="仿宋_GB2312"/>
                <w:kern w:val="0"/>
                <w:sz w:val="21"/>
                <w:szCs w:val="21"/>
              </w:rPr>
              <w:t>0</w:t>
            </w:r>
          </w:p>
        </w:tc>
        <w:tc>
          <w:tcPr>
            <w:tcW w:w="168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300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c>
          <w:tcPr>
            <w:tcW w:w="8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效益指标</w:t>
            </w:r>
          </w:p>
        </w:tc>
        <w:tc>
          <w:tcPr>
            <w:tcW w:w="12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社会</w:t>
            </w:r>
            <w:r>
              <w:rPr>
                <w:rFonts w:hint="eastAsia" w:ascii="仿宋_GB2312" w:hAnsi="仿宋_GB2312" w:eastAsia="仿宋_GB2312" w:cs="仿宋_GB2312"/>
                <w:kern w:val="0"/>
                <w:sz w:val="21"/>
                <w:szCs w:val="21"/>
              </w:rPr>
              <w:t>效益</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相关重点难点问题研究，为政策法规制定提供支撑，推动北京市知识产权事业发展</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基本达到目标</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kern w:val="0"/>
                <w:sz w:val="21"/>
                <w:szCs w:val="21"/>
              </w:rPr>
            </w:pPr>
            <w:r>
              <w:rPr>
                <w:rFonts w:hint="eastAsia" w:ascii="仿宋_GB2312" w:hAnsi="仿宋_GB2312" w:eastAsia="仿宋_GB2312" w:cs="仿宋_GB2312"/>
                <w:kern w:val="0"/>
                <w:sz w:val="21"/>
                <w:szCs w:val="21"/>
              </w:rPr>
              <w:t>基本达到目标</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w:t>
            </w:r>
            <w:r>
              <w:rPr>
                <w:rFonts w:hint="eastAsia" w:ascii="仿宋_GB2312" w:hAnsi="仿宋_GB2312" w:eastAsia="仿宋_GB2312" w:cs="仿宋_GB2312"/>
                <w:kern w:val="0"/>
                <w:sz w:val="21"/>
                <w:szCs w:val="21"/>
              </w:rPr>
              <w:t>0</w:t>
            </w:r>
          </w:p>
        </w:tc>
        <w:tc>
          <w:tcPr>
            <w:tcW w:w="8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9</w:t>
            </w:r>
          </w:p>
        </w:tc>
        <w:tc>
          <w:tcPr>
            <w:tcW w:w="168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根据课题提出的政策建议完善市知识产权局职责内相关工作举措，课题成果供市领导及相关部门参考，需进一步联合相关部门探索相关机制。</w:t>
            </w:r>
          </w:p>
        </w:tc>
      </w:tr>
      <w:tr>
        <w:tblPrEx>
          <w:tblCellMar>
            <w:top w:w="0" w:type="dxa"/>
            <w:left w:w="108" w:type="dxa"/>
            <w:bottom w:w="0" w:type="dxa"/>
            <w:right w:w="108" w:type="dxa"/>
          </w:tblCellMar>
        </w:tblPrEx>
        <w:trPr>
          <w:trHeight w:val="794"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8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98.9</w:t>
            </w:r>
          </w:p>
        </w:tc>
        <w:tc>
          <w:tcPr>
            <w:tcW w:w="168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0"/>
                <w:sz w:val="21"/>
                <w:szCs w:val="21"/>
              </w:rPr>
            </w:pPr>
          </w:p>
        </w:tc>
      </w:tr>
    </w:tbl>
    <w:p>
      <w:pPr>
        <w:spacing w:line="520" w:lineRule="exact"/>
        <w:ind w:firstLine="640" w:firstLineChars="200"/>
        <w:rPr>
          <w:rFonts w:hint="eastAsia" w:ascii="仿宋_GB2312" w:hAnsi="宋体" w:eastAsia="仿宋_GB2312" w:cs="宋体"/>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NGNlYjg4NzNiZGRhMTE2ZTM3YjZmZDgyYTE1MjkifQ=="/>
  </w:docVars>
  <w:rsids>
    <w:rsidRoot w:val="F77F09F4"/>
    <w:rsid w:val="30D77090"/>
    <w:rsid w:val="37173543"/>
    <w:rsid w:val="3DE3E862"/>
    <w:rsid w:val="3FF76880"/>
    <w:rsid w:val="3FFE6AF3"/>
    <w:rsid w:val="5E53D953"/>
    <w:rsid w:val="67BA1807"/>
    <w:rsid w:val="755FC08A"/>
    <w:rsid w:val="777D8F66"/>
    <w:rsid w:val="7A4723E3"/>
    <w:rsid w:val="7AB7FF50"/>
    <w:rsid w:val="7BBA4E35"/>
    <w:rsid w:val="7BFEB0DB"/>
    <w:rsid w:val="7F9B608E"/>
    <w:rsid w:val="86FDA43F"/>
    <w:rsid w:val="ADA5810E"/>
    <w:rsid w:val="CEFD3F3D"/>
    <w:rsid w:val="DBDC67EB"/>
    <w:rsid w:val="E76F2340"/>
    <w:rsid w:val="EA3F77F2"/>
    <w:rsid w:val="EEBF4ED9"/>
    <w:rsid w:val="EEFE5989"/>
    <w:rsid w:val="EF76E07D"/>
    <w:rsid w:val="EFCF3EAE"/>
    <w:rsid w:val="F5B764A2"/>
    <w:rsid w:val="F77F09F4"/>
    <w:rsid w:val="FFD7BFFC"/>
    <w:rsid w:val="FFFA6B0F"/>
    <w:rsid w:val="FFFEC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926</Words>
  <Characters>1024</Characters>
  <Lines>0</Lines>
  <Paragraphs>0</Paragraphs>
  <TotalTime>6</TotalTime>
  <ScaleCrop>false</ScaleCrop>
  <LinksUpToDate>false</LinksUpToDate>
  <CharactersWithSpaces>1061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2022-03-13T19:16:00Z</dcterms:created>
  <dc:creator>user</dc:creator>
  <cp:lastModifiedBy>:D</cp:lastModifiedBy>
  <cp:lastPrinted>2024-04-17T00:39:00Z</cp:lastPrinted>
  <dcterms:modified xsi:type="dcterms:W3CDTF">2024-06-07T07:02:22Z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CFA1B361828B423C9CE7B3DDE7FE6F3E_12</vt:lpwstr>
  </property>
</Properties>
</file>