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rPr>
          <w:rFonts w:ascii="黑体" w:hAnsi="黑体" w:eastAsia="黑体"/>
          <w:sz w:val="32"/>
          <w:szCs w:val="32"/>
        </w:rPr>
      </w:pPr>
      <w:bookmarkStart w:id="0" w:name="_GoBack"/>
      <w:bookmarkEnd w:id="0"/>
    </w:p>
    <w:p>
      <w:pPr>
        <w:spacing w:line="480" w:lineRule="exact"/>
        <w:jc w:val="center"/>
        <w:rPr>
          <w:rFonts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/>
          <w:sz w:val="36"/>
          <w:szCs w:val="36"/>
        </w:rPr>
        <w:t>项目支出绩效自评表</w:t>
      </w:r>
    </w:p>
    <w:p>
      <w:pPr>
        <w:spacing w:line="480" w:lineRule="exact"/>
        <w:jc w:val="center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（2023年度）</w:t>
      </w:r>
    </w:p>
    <w:p>
      <w:pPr>
        <w:spacing w:line="240" w:lineRule="exact"/>
        <w:rPr>
          <w:rFonts w:ascii="仿宋_GB2312" w:hAnsi="宋体" w:eastAsia="仿宋_GB2312"/>
          <w:sz w:val="30"/>
          <w:szCs w:val="30"/>
        </w:rPr>
      </w:pPr>
    </w:p>
    <w:tbl>
      <w:tblPr>
        <w:tblStyle w:val="7"/>
        <w:tblW w:w="10036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0"/>
        <w:gridCol w:w="711"/>
        <w:gridCol w:w="664"/>
        <w:gridCol w:w="1432"/>
        <w:gridCol w:w="1058"/>
        <w:gridCol w:w="1049"/>
        <w:gridCol w:w="1000"/>
        <w:gridCol w:w="279"/>
        <w:gridCol w:w="284"/>
        <w:gridCol w:w="420"/>
        <w:gridCol w:w="321"/>
        <w:gridCol w:w="525"/>
        <w:gridCol w:w="1543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6" w:hRule="exact"/>
          <w:jc w:val="center"/>
        </w:trPr>
        <w:tc>
          <w:tcPr>
            <w:tcW w:w="146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项目名称</w:t>
            </w:r>
          </w:p>
        </w:tc>
        <w:tc>
          <w:tcPr>
            <w:tcW w:w="8575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知识产权海外纠纷法律费用保险试点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5" w:hRule="exact"/>
          <w:jc w:val="center"/>
        </w:trPr>
        <w:tc>
          <w:tcPr>
            <w:tcW w:w="146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主管部门</w:t>
            </w:r>
          </w:p>
        </w:tc>
        <w:tc>
          <w:tcPr>
            <w:tcW w:w="4203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北京市知识产权局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实施单位</w:t>
            </w:r>
          </w:p>
        </w:tc>
        <w:tc>
          <w:tcPr>
            <w:tcW w:w="3093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中关村知识产权促进中心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2" w:hRule="exact"/>
          <w:jc w:val="center"/>
        </w:trPr>
        <w:tc>
          <w:tcPr>
            <w:tcW w:w="146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项目负责人</w:t>
            </w:r>
          </w:p>
        </w:tc>
        <w:tc>
          <w:tcPr>
            <w:tcW w:w="4203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范睿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联系电话</w:t>
            </w:r>
          </w:p>
        </w:tc>
        <w:tc>
          <w:tcPr>
            <w:tcW w:w="3093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010-66127117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6" w:hRule="exact"/>
          <w:jc w:val="center"/>
        </w:trPr>
        <w:tc>
          <w:tcPr>
            <w:tcW w:w="146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项目资金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（万元）</w:t>
            </w:r>
          </w:p>
        </w:tc>
        <w:tc>
          <w:tcPr>
            <w:tcW w:w="20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0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年初预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算数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全年预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算数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全年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执行率</w:t>
            </w:r>
          </w:p>
        </w:tc>
        <w:tc>
          <w:tcPr>
            <w:tcW w:w="15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2" w:hRule="exact"/>
          <w:jc w:val="center"/>
        </w:trPr>
        <w:tc>
          <w:tcPr>
            <w:tcW w:w="146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20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年度资金总额</w:t>
            </w:r>
          </w:p>
        </w:tc>
        <w:tc>
          <w:tcPr>
            <w:tcW w:w="10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411.6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411.6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409.4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99.47%</w:t>
            </w:r>
          </w:p>
        </w:tc>
        <w:tc>
          <w:tcPr>
            <w:tcW w:w="15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9.9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4" w:hRule="exact"/>
          <w:jc w:val="center"/>
        </w:trPr>
        <w:tc>
          <w:tcPr>
            <w:tcW w:w="146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20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其中：当年财政拨款</w:t>
            </w:r>
          </w:p>
        </w:tc>
        <w:tc>
          <w:tcPr>
            <w:tcW w:w="10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411.6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411.6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400.4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99.47%</w:t>
            </w:r>
          </w:p>
        </w:tc>
        <w:tc>
          <w:tcPr>
            <w:tcW w:w="15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6" w:hRule="exact"/>
          <w:jc w:val="center"/>
        </w:trPr>
        <w:tc>
          <w:tcPr>
            <w:tcW w:w="146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20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 xml:space="preserve">     上年结转资金</w:t>
            </w:r>
          </w:p>
        </w:tc>
        <w:tc>
          <w:tcPr>
            <w:tcW w:w="10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0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0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—</w:t>
            </w:r>
          </w:p>
        </w:tc>
        <w:tc>
          <w:tcPr>
            <w:tcW w:w="15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46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20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right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 xml:space="preserve">  其他资金</w:t>
            </w:r>
          </w:p>
        </w:tc>
        <w:tc>
          <w:tcPr>
            <w:tcW w:w="10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0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0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—</w:t>
            </w:r>
          </w:p>
        </w:tc>
        <w:tc>
          <w:tcPr>
            <w:tcW w:w="15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exact"/>
          <w:jc w:val="center"/>
        </w:trPr>
        <w:tc>
          <w:tcPr>
            <w:tcW w:w="75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年度总体目标</w:t>
            </w:r>
          </w:p>
        </w:tc>
        <w:tc>
          <w:tcPr>
            <w:tcW w:w="4914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预期目标</w:t>
            </w:r>
          </w:p>
        </w:tc>
        <w:tc>
          <w:tcPr>
            <w:tcW w:w="4372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9" w:hRule="exact"/>
          <w:jc w:val="center"/>
        </w:trPr>
        <w:tc>
          <w:tcPr>
            <w:tcW w:w="7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4914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通过设立海外知识产权法律费用保险试点项目，解决北京企业海外维权难题，助力企业“走出去”解决知识产权顾虑。通过为企业提供法律费用赔偿，降低企业财务风险，提高企业应对知识产权纠纷的决心和信心；通过保险公司和政府共同搭建服务平台，协助企业完善“防御”体系，提高海外知识产权风险管理和应对能力。</w:t>
            </w:r>
          </w:p>
        </w:tc>
        <w:tc>
          <w:tcPr>
            <w:tcW w:w="4372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2023年海外知识产权法律费用保险试点项目支持10家企业投保，补贴保费400万元，总保障金额6000万余元，降低企业出海风险，提高走出去过程中的应诉信心。截至目前海外险已有1家企业出险，获得保险理赔金额82万余元。除为试点企业提供保险保障外，还着重将风险管理服务作为保险产品的一部分，整合知识产权专业律所、咨询公司、行业数据分析公司等机构为企业提供优质的海外业务风险管理服务，使风险等量管理转变为风险减量管理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4" w:hRule="exact"/>
          <w:jc w:val="center"/>
        </w:trPr>
        <w:tc>
          <w:tcPr>
            <w:tcW w:w="75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绩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效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指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标</w:t>
            </w:r>
          </w:p>
        </w:tc>
        <w:tc>
          <w:tcPr>
            <w:tcW w:w="71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一级指标</w:t>
            </w:r>
          </w:p>
        </w:tc>
        <w:tc>
          <w:tcPr>
            <w:tcW w:w="66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二级指标</w:t>
            </w:r>
          </w:p>
        </w:tc>
        <w:tc>
          <w:tcPr>
            <w:tcW w:w="24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三级指标</w:t>
            </w:r>
          </w:p>
        </w:tc>
        <w:tc>
          <w:tcPr>
            <w:tcW w:w="10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指标值</w:t>
            </w:r>
          </w:p>
        </w:tc>
        <w:tc>
          <w:tcPr>
            <w:tcW w:w="10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完成值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分值</w:t>
            </w:r>
          </w:p>
        </w:tc>
        <w:tc>
          <w:tcPr>
            <w:tcW w:w="7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得分</w:t>
            </w:r>
          </w:p>
        </w:tc>
        <w:tc>
          <w:tcPr>
            <w:tcW w:w="20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7" w:hRule="exact"/>
          <w:jc w:val="center"/>
        </w:trPr>
        <w:tc>
          <w:tcPr>
            <w:tcW w:w="75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7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产出指标</w:t>
            </w:r>
          </w:p>
        </w:tc>
        <w:tc>
          <w:tcPr>
            <w:tcW w:w="6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数量指标</w:t>
            </w:r>
          </w:p>
        </w:tc>
        <w:tc>
          <w:tcPr>
            <w:tcW w:w="24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指标1：宣传、培训、服务等活动次数</w:t>
            </w:r>
          </w:p>
        </w:tc>
        <w:tc>
          <w:tcPr>
            <w:tcW w:w="10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≥5次</w:t>
            </w:r>
          </w:p>
        </w:tc>
        <w:tc>
          <w:tcPr>
            <w:tcW w:w="10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23次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10</w:t>
            </w:r>
          </w:p>
        </w:tc>
        <w:tc>
          <w:tcPr>
            <w:tcW w:w="7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8</w:t>
            </w:r>
          </w:p>
        </w:tc>
        <w:tc>
          <w:tcPr>
            <w:tcW w:w="20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eastAsia="zh-CN"/>
              </w:rPr>
              <w:t>年度计划制定时按照专门开展海外险宣传培训不少于5次设定。知识产权海外险和知识产权质押融资同属于知识产权金融政策，在全年工作开展过程中，受开展知识产权质押融资政策宣传方面的企业需求增加的影响，并且企业普遍对知识产权海外险存在培训需求，因此在宣传质押融资政策的同时一并进行海外险宣传，全年实际完成海外险宣传次数20余次，远高于5次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2" w:hRule="exact"/>
          <w:jc w:val="center"/>
        </w:trPr>
        <w:tc>
          <w:tcPr>
            <w:tcW w:w="75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71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产出指标</w:t>
            </w:r>
          </w:p>
        </w:tc>
        <w:tc>
          <w:tcPr>
            <w:tcW w:w="6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数量指标</w:t>
            </w:r>
          </w:p>
        </w:tc>
        <w:tc>
          <w:tcPr>
            <w:tcW w:w="24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指标2：获资金支持企业数量</w:t>
            </w:r>
          </w:p>
        </w:tc>
        <w:tc>
          <w:tcPr>
            <w:tcW w:w="10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≥5家</w:t>
            </w:r>
          </w:p>
        </w:tc>
        <w:tc>
          <w:tcPr>
            <w:tcW w:w="10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10家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15</w:t>
            </w:r>
          </w:p>
        </w:tc>
        <w:tc>
          <w:tcPr>
            <w:tcW w:w="7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15</w:t>
            </w:r>
          </w:p>
        </w:tc>
        <w:tc>
          <w:tcPr>
            <w:tcW w:w="20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6" w:hRule="exact"/>
          <w:jc w:val="center"/>
        </w:trPr>
        <w:tc>
          <w:tcPr>
            <w:tcW w:w="75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71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66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质量指标</w:t>
            </w:r>
          </w:p>
        </w:tc>
        <w:tc>
          <w:tcPr>
            <w:tcW w:w="24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指标1：获保企业开展海外业务并启动保险率</w:t>
            </w:r>
          </w:p>
        </w:tc>
        <w:tc>
          <w:tcPr>
            <w:tcW w:w="10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≥80%</w:t>
            </w:r>
          </w:p>
        </w:tc>
        <w:tc>
          <w:tcPr>
            <w:tcW w:w="10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100%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10</w:t>
            </w:r>
          </w:p>
        </w:tc>
        <w:tc>
          <w:tcPr>
            <w:tcW w:w="7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20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86" w:hRule="exact"/>
          <w:jc w:val="center"/>
        </w:trPr>
        <w:tc>
          <w:tcPr>
            <w:tcW w:w="75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71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66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24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指标2：为投保企业提供包括经典案例分析、海外市场情况分析、试点政策解析、保险产品交流等类别培训或服务，帮助企业提高知识产权相关能力。提供的服务类型不少于3类</w:t>
            </w:r>
          </w:p>
        </w:tc>
        <w:tc>
          <w:tcPr>
            <w:tcW w:w="10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≥3类</w:t>
            </w:r>
          </w:p>
        </w:tc>
        <w:tc>
          <w:tcPr>
            <w:tcW w:w="10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4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15</w:t>
            </w:r>
          </w:p>
        </w:tc>
        <w:tc>
          <w:tcPr>
            <w:tcW w:w="7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15</w:t>
            </w:r>
          </w:p>
        </w:tc>
        <w:tc>
          <w:tcPr>
            <w:tcW w:w="20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5" w:hRule="exact"/>
          <w:jc w:val="center"/>
        </w:trPr>
        <w:tc>
          <w:tcPr>
            <w:tcW w:w="75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71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6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时效指标</w:t>
            </w:r>
          </w:p>
        </w:tc>
        <w:tc>
          <w:tcPr>
            <w:tcW w:w="24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指标1：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项目完成时间</w:t>
            </w:r>
          </w:p>
        </w:tc>
        <w:tc>
          <w:tcPr>
            <w:tcW w:w="10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≤10月</w:t>
            </w:r>
          </w:p>
        </w:tc>
        <w:tc>
          <w:tcPr>
            <w:tcW w:w="10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10月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10</w:t>
            </w:r>
          </w:p>
        </w:tc>
        <w:tc>
          <w:tcPr>
            <w:tcW w:w="7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10</w:t>
            </w:r>
          </w:p>
        </w:tc>
        <w:tc>
          <w:tcPr>
            <w:tcW w:w="20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30" w:hRule="exact"/>
          <w:jc w:val="center"/>
        </w:trPr>
        <w:tc>
          <w:tcPr>
            <w:tcW w:w="75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71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效益指标</w:t>
            </w:r>
          </w:p>
        </w:tc>
        <w:tc>
          <w:tcPr>
            <w:tcW w:w="66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指标</w:t>
            </w:r>
          </w:p>
        </w:tc>
        <w:tc>
          <w:tcPr>
            <w:tcW w:w="24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指标1：促进知识产权保险创新和发展，助力优化首都营商环境和全国科技创新中心建设</w:t>
            </w:r>
          </w:p>
        </w:tc>
        <w:tc>
          <w:tcPr>
            <w:tcW w:w="10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定性</w:t>
            </w:r>
          </w:p>
        </w:tc>
        <w:tc>
          <w:tcPr>
            <w:tcW w:w="10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高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10</w:t>
            </w:r>
          </w:p>
        </w:tc>
        <w:tc>
          <w:tcPr>
            <w:tcW w:w="7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10</w:t>
            </w:r>
          </w:p>
        </w:tc>
        <w:tc>
          <w:tcPr>
            <w:tcW w:w="20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31" w:hRule="exact"/>
          <w:jc w:val="center"/>
        </w:trPr>
        <w:tc>
          <w:tcPr>
            <w:tcW w:w="75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71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66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24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指标2：提高获保企业应诉的意识和能力，缓解企业财务压力，提高企业应诉积极性，丰富应对手段</w:t>
            </w:r>
          </w:p>
        </w:tc>
        <w:tc>
          <w:tcPr>
            <w:tcW w:w="10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定性</w:t>
            </w:r>
          </w:p>
        </w:tc>
        <w:tc>
          <w:tcPr>
            <w:tcW w:w="10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高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10</w:t>
            </w:r>
          </w:p>
        </w:tc>
        <w:tc>
          <w:tcPr>
            <w:tcW w:w="7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10</w:t>
            </w:r>
          </w:p>
        </w:tc>
        <w:tc>
          <w:tcPr>
            <w:tcW w:w="20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77" w:hRule="exact"/>
          <w:jc w:val="center"/>
        </w:trPr>
        <w:tc>
          <w:tcPr>
            <w:tcW w:w="75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7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满意度指标</w:t>
            </w:r>
          </w:p>
        </w:tc>
        <w:tc>
          <w:tcPr>
            <w:tcW w:w="6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服务对象满意度标</w:t>
            </w:r>
          </w:p>
        </w:tc>
        <w:tc>
          <w:tcPr>
            <w:tcW w:w="24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指标1：获补贴企业及宣传培训覆盖的重点企业满意度</w:t>
            </w:r>
          </w:p>
        </w:tc>
        <w:tc>
          <w:tcPr>
            <w:tcW w:w="10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≥95%</w:t>
            </w:r>
          </w:p>
        </w:tc>
        <w:tc>
          <w:tcPr>
            <w:tcW w:w="10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100%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10</w:t>
            </w:r>
          </w:p>
        </w:tc>
        <w:tc>
          <w:tcPr>
            <w:tcW w:w="7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10</w:t>
            </w:r>
          </w:p>
        </w:tc>
        <w:tc>
          <w:tcPr>
            <w:tcW w:w="20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6664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总分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100</w:t>
            </w:r>
          </w:p>
        </w:tc>
        <w:tc>
          <w:tcPr>
            <w:tcW w:w="7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val="en-US" w:eastAsia="zh-CN"/>
              </w:rPr>
              <w:t>97.95</w:t>
            </w:r>
          </w:p>
        </w:tc>
        <w:tc>
          <w:tcPr>
            <w:tcW w:w="20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</w:tr>
    </w:tbl>
    <w:p>
      <w:pPr>
        <w:widowControl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</w:p>
    <w:sectPr>
      <w:footerReference r:id="rId3" w:type="default"/>
      <w:pgSz w:w="11906" w:h="16838"/>
      <w:pgMar w:top="1440" w:right="1800" w:bottom="1440" w:left="1800" w:header="851" w:footer="680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right"/>
      <w:rPr>
        <w:rFonts w:ascii="宋体" w:hAnsi="宋体"/>
        <w:sz w:val="28"/>
        <w:szCs w:val="28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5"/>
                            <w:jc w:val="right"/>
                          </w:pP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instrText xml:space="preserve">PAGE   \* MERGEFORMAT</w:instrTex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  <w:lang w:val="zh-CN"/>
                            </w:rPr>
                            <w:t>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t xml:space="preserve"> 1 -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LNJ&#10;WO7QAAAABQEAAA8AAAAAAAAAAQAgAAAAIgAAAGRycy9kb3ducmV2LnhtbFBLAQIUABQAAAAIAIdO&#10;4kAFYYw/KwIAAFUEAAAOAAAAAAAAAAEAIAAAAB8BAABkcnMvZTJvRG9jLnhtbFBLBQYAAAAABgAG&#10;AFkBAAC8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  <w:jc w:val="right"/>
                    </w:pP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instrText xml:space="preserve">PAGE   \* MERGEFORMAT</w:instrTex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宋体" w:hAnsi="宋体"/>
                        <w:sz w:val="28"/>
                        <w:szCs w:val="28"/>
                        <w:lang w:val="zh-CN"/>
                      </w:rPr>
                      <w:t>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t xml:space="preserve"> 1 -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>
    <w:pPr>
      <w:pStyle w:val="5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mQ5NGNlYjg4NzNiZGRhMTE2ZTM3YjZmZDgyYTE1MjkifQ=="/>
  </w:docVars>
  <w:rsids>
    <w:rsidRoot w:val="F77F09F4"/>
    <w:rsid w:val="000E32CE"/>
    <w:rsid w:val="0019409B"/>
    <w:rsid w:val="00213ED1"/>
    <w:rsid w:val="003D2709"/>
    <w:rsid w:val="00406D1F"/>
    <w:rsid w:val="00423E88"/>
    <w:rsid w:val="004D190C"/>
    <w:rsid w:val="004E201F"/>
    <w:rsid w:val="005326D5"/>
    <w:rsid w:val="00870036"/>
    <w:rsid w:val="00871BC6"/>
    <w:rsid w:val="008D1910"/>
    <w:rsid w:val="008F053D"/>
    <w:rsid w:val="009F17F6"/>
    <w:rsid w:val="00A15209"/>
    <w:rsid w:val="00A63740"/>
    <w:rsid w:val="00B0366B"/>
    <w:rsid w:val="00B46509"/>
    <w:rsid w:val="00D039C6"/>
    <w:rsid w:val="00D36A05"/>
    <w:rsid w:val="00F45CBF"/>
    <w:rsid w:val="00FC24F7"/>
    <w:rsid w:val="19F30942"/>
    <w:rsid w:val="1FC53BE1"/>
    <w:rsid w:val="23AA6F10"/>
    <w:rsid w:val="305028AC"/>
    <w:rsid w:val="36DB0B15"/>
    <w:rsid w:val="37173543"/>
    <w:rsid w:val="3AF7062E"/>
    <w:rsid w:val="3FF76880"/>
    <w:rsid w:val="43014CE6"/>
    <w:rsid w:val="4D210C62"/>
    <w:rsid w:val="4E6574E2"/>
    <w:rsid w:val="4FDE275E"/>
    <w:rsid w:val="555C4981"/>
    <w:rsid w:val="684E77D6"/>
    <w:rsid w:val="6C156F89"/>
    <w:rsid w:val="6F347726"/>
    <w:rsid w:val="777D8F66"/>
    <w:rsid w:val="7AB7FF50"/>
    <w:rsid w:val="7BBA4E35"/>
    <w:rsid w:val="7BF30969"/>
    <w:rsid w:val="7BFEB0DB"/>
    <w:rsid w:val="7C3E6B54"/>
    <w:rsid w:val="7D4274B2"/>
    <w:rsid w:val="7EC12396"/>
    <w:rsid w:val="7F9B608E"/>
    <w:rsid w:val="CEFD3F3D"/>
    <w:rsid w:val="E76F2340"/>
    <w:rsid w:val="EA3F77F2"/>
    <w:rsid w:val="EEBF4ED9"/>
    <w:rsid w:val="EEFE5989"/>
    <w:rsid w:val="EFCF3EAE"/>
    <w:rsid w:val="F5B764A2"/>
    <w:rsid w:val="F77F09F4"/>
    <w:rsid w:val="FFD7BFFC"/>
    <w:rsid w:val="FFFA6B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autoRedefine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8">
    <w:name w:val="Default Paragraph Font"/>
    <w:autoRedefine/>
    <w:semiHidden/>
    <w:unhideWhenUsed/>
    <w:qFormat/>
    <w:uiPriority w:val="1"/>
  </w:style>
  <w:style w:type="table" w:default="1" w:styleId="7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autoRedefine/>
    <w:qFormat/>
    <w:uiPriority w:val="0"/>
    <w:pPr>
      <w:jc w:val="left"/>
    </w:pPr>
  </w:style>
  <w:style w:type="paragraph" w:styleId="4">
    <w:name w:val="Balloon Text"/>
    <w:basedOn w:val="1"/>
    <w:link w:val="10"/>
    <w:autoRedefine/>
    <w:qFormat/>
    <w:uiPriority w:val="0"/>
    <w:rPr>
      <w:sz w:val="18"/>
      <w:szCs w:val="18"/>
    </w:rPr>
  </w:style>
  <w:style w:type="paragraph" w:styleId="5">
    <w:name w:val="footer"/>
    <w:basedOn w:val="1"/>
    <w:autoRedefine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styleId="6">
    <w:name w:val="header"/>
    <w:basedOn w:val="1"/>
    <w:autoRedefine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customStyle="1" w:styleId="9">
    <w:name w:val="列出段落1"/>
    <w:basedOn w:val="1"/>
    <w:autoRedefine/>
    <w:qFormat/>
    <w:uiPriority w:val="34"/>
    <w:pPr>
      <w:ind w:firstLine="420" w:firstLineChars="200"/>
    </w:pPr>
    <w:rPr>
      <w:rFonts w:ascii="Calibri" w:hAnsi="Calibri" w:cs="黑体"/>
      <w:szCs w:val="22"/>
    </w:rPr>
  </w:style>
  <w:style w:type="character" w:customStyle="1" w:styleId="10">
    <w:name w:val="批注框文本 字符"/>
    <w:basedOn w:val="8"/>
    <w:link w:val="4"/>
    <w:autoRedefine/>
    <w:qFormat/>
    <w:uiPriority w:val="0"/>
    <w:rPr>
      <w:rFonts w:ascii="Times New Roman" w:hAnsi="Times New Roman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1056</Words>
  <Characters>1154</Characters>
  <Lines>12</Lines>
  <Paragraphs>3</Paragraphs>
  <TotalTime>46</TotalTime>
  <ScaleCrop>false</ScaleCrop>
  <LinksUpToDate>false</LinksUpToDate>
  <CharactersWithSpaces>1161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2022-03-11T11:16:00Z</dcterms:created>
  <dc:creator>user</dc:creator>
  <cp:lastModifiedBy>:D</cp:lastModifiedBy>
  <cp:lastPrinted>2024-04-17T08:21:00Z</cp:lastPrinted>
  <dcterms:modified xsi:type="dcterms:W3CDTF">2024-06-07T07:05:11Z</dcterms:modified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DF1DB94E5BA04CA584165EE9BBDDA987_13</vt:lpwstr>
  </property>
</Properties>
</file>